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99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Dyckerhoff Stefan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 PAGE MILL ROAD, SUITE A-200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Astera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94304-1005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3,505</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57,466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27"/>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8,333</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311,399</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661</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450</w:t>
            </w:r>
          </w:p>
        </w:tc>
        <w:tc>
          <w:tcPr>
            <w:tcW w:w="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4,631</w:t>
            </w:r>
          </w:p>
        </w:tc>
        <w:tc>
          <w:tcPr>
            <w:tcW w:w="280" w:type="dxa"/>
            <w:vAlign w:val="bottom"/>
          </w:tcPr>
          <w:p>
            <w:pPr>
              <w:spacing w:after="0"/>
              <w:rPr>
                <w:sz w:val="18"/>
                <w:szCs w:val="18"/>
                <w:color w:val="auto"/>
              </w:rPr>
            </w:pPr>
          </w:p>
        </w:tc>
        <w:tc>
          <w:tcPr>
            <w:tcW w:w="600" w:type="dxa"/>
            <w:vAlign w:val="bottom"/>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(TF)</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3,767</w:t>
            </w:r>
          </w:p>
        </w:tc>
        <w:tc>
          <w:tcPr>
            <w:tcW w:w="28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2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2</w:t>
            </w:r>
            <w:r>
              <w:rPr>
                <w:rFonts w:ascii="Times New Roman" w:cs="Times New Roman" w:eastAsia="Times New Roman" w:hAnsi="Times New Roman"/>
                <w:sz w:val="11"/>
                <w:szCs w:val="11"/>
                <w:color w:val="008000"/>
                <w:w w:val="93"/>
              </w:rPr>
              <w:t>(5)</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8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AMD</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8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BAD</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8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SHD</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8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IND</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adopted by the Reporting Person on December 1,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The Reporting Person shares pecuniary interest in these shares with other parties pursuant to contractual relationships. The Reporting Person disclaims beneficial ownership in these shares except as to the Reporting Person's pecuniary interest in these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 trust of which the Reporting Person is a Trustee. The Reporting Person disclaims beneficial ownership in these shares except as to the Reporting Person's pecuniary interest therein.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 limited partnership of which the Reporting Person is a trustee of a trust which is the general partner. The Reporting Person disclaims beneficial ownership in these shares except as to the Reporting Person's pecuniary interest therein.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an irrevocable trust of which the Reporting Person is a Trustee. The Reporting Person disclaims beneficial ownership in these shares except as to the Reporting Person's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Kanwalpreet S. Kalra,</w:t>
            </w:r>
          </w:p>
        </w:tc>
        <w:tc>
          <w:tcPr>
            <w:tcW w:w="22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00" w:type="dxa"/>
            <w:vAlign w:val="bottom"/>
            <w:gridSpan w:val="2"/>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4394"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2026-07-02T18:30:23Z</dcterms:created>
  <dcterms:modified xsi:type="dcterms:W3CDTF">2026-07-02T18:30:23Z</dcterms:modified>
</cp:coreProperties>
</file>