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BARRATT CRAIG H</w:t>
              </w:r>
            </w:hyperlink>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Astera Labs,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ALAB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ASTERA LABS, INC.</w:t>
            </w:r>
          </w:p>
        </w:tc>
        <w:tc>
          <w:tcPr>
            <w:tcW w:w="132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2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2345 NORTH FIRST STREET</w:t>
            </w: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837</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6,825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an award of restricted stock units ("RSUs") granted on June 4, 2026 (the "Grant Date") under the Astera Labs, Inc. 2024 Stock Option and Incentive Plan. Such award vests in full upon the earlier of (i) the first anniversary of the Grant Date or (ii) the date of the next annual stockholder meeting of the Company following the Grant Date, subject to the Reporting Person's continuous service relationship with the Issuer through each applicable vesting date. Each RSU represents a contingent right to receive one share of the Issuer's Common Stock.</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Philip Mazzara,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7620" TargetMode="External"/><Relationship Id="rId14" Type="http://schemas.openxmlformats.org/officeDocument/2006/relationships/hyperlink" Target="http://www.sec.gov/cgi-bin/browse-edgar?action=getcompany&amp;CIK=00017362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2026-06-08T19:22:33Z</dcterms:created>
  <dcterms:modified xsi:type="dcterms:W3CDTF">2026-06-08T19:22:33Z</dcterms:modified>
</cp:coreProperties>
</file>