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2871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287135"/>
                    </a:xfrm>
                    <a:prstGeom prst="rect">
                      <a:avLst/>
                    </a:prstGeom>
                    <a:noFill/>
                  </pic:spPr>
                </pic:pic>
              </a:graphicData>
            </a:graphic>
          </wp:anchor>
        </w:drawing>
      </w:r>
    </w:p>
    <w:p>
      <w:pPr>
        <w:spacing w:after="0" w:line="1222" w:lineRule="exact"/>
        <w:rPr>
          <w:sz w:val="24"/>
          <w:szCs w:val="24"/>
          <w:color w:val="auto"/>
        </w:rPr>
      </w:pPr>
    </w:p>
    <w:p>
      <w:pPr>
        <w:sectPr>
          <w:pgSz w:w="11900" w:h="16863"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Mayer Bethany</w:t>
              </w:r>
            </w:hyperlink>
          </w:p>
        </w:tc>
        <w:tc>
          <w:tcPr>
            <w:tcW w:w="1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Astera Labs,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ALAB</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20" w:type="dxa"/>
            <w:vAlign w:val="bottom"/>
            <w:gridSpan w:val="3"/>
            <w:vMerge w:val="continue"/>
          </w:tcPr>
          <w:p>
            <w:pPr>
              <w:spacing w:after="0"/>
              <w:rPr>
                <w:sz w:val="6"/>
                <w:szCs w:val="6"/>
                <w:color w:val="auto"/>
              </w:rPr>
            </w:pPr>
          </w:p>
        </w:tc>
        <w:tc>
          <w:tcPr>
            <w:tcW w:w="13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40" w:type="dxa"/>
            <w:vAlign w:val="bottom"/>
            <w:tcBorders>
              <w:bottom w:val="single" w:sz="8" w:color="0000EE"/>
            </w:tcBorders>
          </w:tcPr>
          <w:p>
            <w:pPr>
              <w:spacing w:after="0"/>
              <w:rPr>
                <w:sz w:val="6"/>
                <w:szCs w:val="6"/>
                <w:color w:val="auto"/>
              </w:rPr>
            </w:pPr>
          </w:p>
        </w:tc>
        <w:tc>
          <w:tcPr>
            <w:tcW w:w="23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20" w:type="dxa"/>
            <w:vAlign w:val="bottom"/>
            <w:gridSpan w:val="3"/>
            <w:vMerge w:val="continue"/>
          </w:tcPr>
          <w:p>
            <w:pPr>
              <w:spacing w:after="0"/>
              <w:rPr>
                <w:sz w:val="5"/>
                <w:szCs w:val="5"/>
                <w:color w:val="auto"/>
              </w:rPr>
            </w:pPr>
          </w:p>
        </w:tc>
        <w:tc>
          <w:tcPr>
            <w:tcW w:w="13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3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10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3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13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20" w:type="dxa"/>
            <w:vAlign w:val="bottom"/>
            <w:vMerge w:val="restart"/>
          </w:tcPr>
          <w:p>
            <w:pPr>
              <w:ind w:left="1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40" w:type="dxa"/>
            <w:vAlign w:val="bottom"/>
            <w:gridSpan w:val="2"/>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16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06/24/2026</w:t>
            </w:r>
          </w:p>
        </w:tc>
        <w:tc>
          <w:tcPr>
            <w:tcW w:w="23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ASTERA LABS, INC.</w:t>
            </w:r>
          </w:p>
        </w:tc>
        <w:tc>
          <w:tcPr>
            <w:tcW w:w="1320" w:type="dxa"/>
            <w:vAlign w:val="bottom"/>
          </w:tcPr>
          <w:p>
            <w:pPr>
              <w:spacing w:after="0"/>
              <w:rPr>
                <w:sz w:val="11"/>
                <w:szCs w:val="11"/>
                <w:color w:val="auto"/>
              </w:rPr>
            </w:pPr>
          </w:p>
        </w:tc>
        <w:tc>
          <w:tcPr>
            <w:tcW w:w="1600" w:type="dxa"/>
            <w:vAlign w:val="bottom"/>
            <w:gridSpan w:val="3"/>
            <w:vMerge w:val="continue"/>
          </w:tcPr>
          <w:p>
            <w:pPr>
              <w:spacing w:after="0"/>
              <w:rPr>
                <w:sz w:val="11"/>
                <w:szCs w:val="11"/>
                <w:color w:val="auto"/>
              </w:rPr>
            </w:pPr>
          </w:p>
        </w:tc>
        <w:tc>
          <w:tcPr>
            <w:tcW w:w="23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20" w:type="dxa"/>
            <w:vAlign w:val="bottom"/>
            <w:gridSpan w:val="3"/>
            <w:vMerge w:val="continue"/>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3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2345 NORTH FIRST STREET</w:t>
            </w: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23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320" w:type="dxa"/>
            <w:vAlign w:val="bottom"/>
            <w:gridSpan w:val="3"/>
            <w:vMerge w:val="continue"/>
          </w:tcPr>
          <w:p>
            <w:pPr>
              <w:spacing w:after="0"/>
              <w:rPr>
                <w:sz w:val="9"/>
                <w:szCs w:val="9"/>
                <w:color w:val="auto"/>
              </w:rPr>
            </w:pPr>
          </w:p>
        </w:tc>
        <w:tc>
          <w:tcPr>
            <w:tcW w:w="1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63" w:orient="portrait"/>
          <w:cols w:equalWidth="0" w:num="1">
            <w:col w:w="11080"/>
          </w:cols>
          <w:pgMar w:left="460" w:top="219" w:right="35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95131</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63" w:orient="portrait"/>
          <w:cols w:equalWidth="0" w:num="2">
            <w:col w:w="7540" w:space="720"/>
            <w:col w:w="282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00"/>
              <w:spacing w:after="0"/>
              <w:rPr>
                <w:sz w:val="20"/>
                <w:szCs w:val="20"/>
                <w:color w:val="auto"/>
              </w:rPr>
            </w:pPr>
            <w:r>
              <w:rPr>
                <w:rFonts w:ascii="Arial" w:cs="Arial" w:eastAsia="Arial" w:hAnsi="Arial"/>
                <w:sz w:val="12"/>
                <w:szCs w:val="12"/>
                <w:b w:val="1"/>
                <w:bCs w:val="1"/>
                <w:color w:val="auto"/>
              </w:rPr>
              <w:t>2.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3"/>
                <w:szCs w:val="13"/>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2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ind w:right="70"/>
              <w:spacing w:after="0"/>
              <w:rPr>
                <w:sz w:val="20"/>
                <w:szCs w:val="20"/>
                <w:color w:val="auto"/>
              </w:rPr>
            </w:pPr>
            <w:r>
              <w:rPr>
                <w:rFonts w:ascii="Arial" w:cs="Arial" w:eastAsia="Arial" w:hAnsi="Arial"/>
                <w:sz w:val="12"/>
                <w:szCs w:val="12"/>
                <w:b w:val="1"/>
                <w:bCs w:val="1"/>
                <w:color w:val="auto"/>
                <w:w w:val="99"/>
              </w:rPr>
              <w:t>(A) or</w:t>
            </w:r>
          </w:p>
        </w:tc>
        <w:tc>
          <w:tcPr>
            <w:tcW w:w="64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06/24/2026</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99</w:t>
            </w:r>
          </w:p>
        </w:tc>
        <w:tc>
          <w:tcPr>
            <w:tcW w:w="460" w:type="dxa"/>
            <w:vAlign w:val="bottom"/>
            <w:tcBorders>
              <w:bottom w:val="single" w:sz="8" w:color="2C2C2C"/>
            </w:tcBorders>
          </w:tcPr>
          <w:p>
            <w:pPr>
              <w:jc w:val="center"/>
              <w:ind w:right="50"/>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391.2689</w:t>
            </w:r>
            <w:r>
              <w:rPr>
                <w:rFonts w:ascii="Times New Roman" w:cs="Times New Roman" w:eastAsia="Times New Roman" w:hAnsi="Times New Roman"/>
                <w:sz w:val="22"/>
                <w:szCs w:val="22"/>
                <w:color w:val="008000"/>
                <w:w w:val="95"/>
                <w:vertAlign w:val="superscript"/>
              </w:rPr>
              <w:t>(2)</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28"/>
              <w:spacing w:after="0"/>
              <w:rPr>
                <w:sz w:val="20"/>
                <w:szCs w:val="20"/>
                <w:color w:val="auto"/>
              </w:rPr>
            </w:pPr>
            <w:r>
              <w:rPr>
                <w:rFonts w:ascii="Times New Roman" w:cs="Times New Roman" w:eastAsia="Times New Roman" w:hAnsi="Times New Roman"/>
                <w:sz w:val="17"/>
                <w:szCs w:val="17"/>
                <w:color w:val="0000FF"/>
                <w:w w:val="99"/>
              </w:rPr>
              <w:t>6,137</w:t>
            </w:r>
          </w:p>
        </w:tc>
        <w:tc>
          <w:tcPr>
            <w:tcW w:w="920" w:type="dxa"/>
            <w:vAlign w:val="bottom"/>
            <w:tcBorders>
              <w:bottom w:val="single" w:sz="8" w:color="2C2C2C"/>
            </w:tcBorders>
          </w:tcPr>
          <w:p>
            <w:pPr>
              <w:jc w:val="center"/>
              <w:ind w:right="29"/>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06/24/2026</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193</w:t>
            </w:r>
          </w:p>
        </w:tc>
        <w:tc>
          <w:tcPr>
            <w:tcW w:w="460" w:type="dxa"/>
            <w:vAlign w:val="bottom"/>
            <w:tcBorders>
              <w:bottom w:val="single" w:sz="8" w:color="2C2C2C"/>
            </w:tcBorders>
          </w:tcPr>
          <w:p>
            <w:pPr>
              <w:jc w:val="center"/>
              <w:ind w:right="50"/>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392.6746</w:t>
            </w:r>
            <w:r>
              <w:rPr>
                <w:rFonts w:ascii="Times New Roman" w:cs="Times New Roman" w:eastAsia="Times New Roman" w:hAnsi="Times New Roman"/>
                <w:sz w:val="22"/>
                <w:szCs w:val="22"/>
                <w:color w:val="008000"/>
                <w:w w:val="95"/>
                <w:vertAlign w:val="superscript"/>
              </w:rPr>
              <w:t>(3)</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28"/>
              <w:spacing w:after="0"/>
              <w:rPr>
                <w:sz w:val="20"/>
                <w:szCs w:val="20"/>
                <w:color w:val="auto"/>
              </w:rPr>
            </w:pPr>
            <w:r>
              <w:rPr>
                <w:rFonts w:ascii="Times New Roman" w:cs="Times New Roman" w:eastAsia="Times New Roman" w:hAnsi="Times New Roman"/>
                <w:sz w:val="17"/>
                <w:szCs w:val="17"/>
                <w:color w:val="0000FF"/>
                <w:w w:val="99"/>
              </w:rPr>
              <w:t>5,944</w:t>
            </w:r>
          </w:p>
        </w:tc>
        <w:tc>
          <w:tcPr>
            <w:tcW w:w="920" w:type="dxa"/>
            <w:vAlign w:val="bottom"/>
            <w:tcBorders>
              <w:bottom w:val="single" w:sz="8" w:color="2C2C2C"/>
            </w:tcBorders>
          </w:tcPr>
          <w:p>
            <w:pPr>
              <w:jc w:val="center"/>
              <w:ind w:right="29"/>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06/24/2026</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54</w:t>
            </w:r>
          </w:p>
        </w:tc>
        <w:tc>
          <w:tcPr>
            <w:tcW w:w="460" w:type="dxa"/>
            <w:vAlign w:val="bottom"/>
            <w:tcBorders>
              <w:bottom w:val="single" w:sz="8" w:color="2C2C2C"/>
            </w:tcBorders>
          </w:tcPr>
          <w:p>
            <w:pPr>
              <w:jc w:val="center"/>
              <w:ind w:right="50"/>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393.86</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28"/>
              <w:spacing w:after="0"/>
              <w:rPr>
                <w:sz w:val="20"/>
                <w:szCs w:val="20"/>
                <w:color w:val="auto"/>
              </w:rPr>
            </w:pPr>
            <w:r>
              <w:rPr>
                <w:rFonts w:ascii="Times New Roman" w:cs="Times New Roman" w:eastAsia="Times New Roman" w:hAnsi="Times New Roman"/>
                <w:sz w:val="17"/>
                <w:szCs w:val="17"/>
                <w:color w:val="0000FF"/>
                <w:w w:val="99"/>
              </w:rPr>
              <w:t>5,890</w:t>
            </w:r>
          </w:p>
        </w:tc>
        <w:tc>
          <w:tcPr>
            <w:tcW w:w="920" w:type="dxa"/>
            <w:vAlign w:val="bottom"/>
            <w:tcBorders>
              <w:bottom w:val="single" w:sz="8" w:color="2C2C2C"/>
            </w:tcBorders>
          </w:tcPr>
          <w:p>
            <w:pPr>
              <w:jc w:val="center"/>
              <w:ind w:right="29"/>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06/24/2026</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146</w:t>
            </w:r>
          </w:p>
        </w:tc>
        <w:tc>
          <w:tcPr>
            <w:tcW w:w="460" w:type="dxa"/>
            <w:vAlign w:val="bottom"/>
            <w:tcBorders>
              <w:bottom w:val="single" w:sz="8" w:color="2C2C2C"/>
            </w:tcBorders>
          </w:tcPr>
          <w:p>
            <w:pPr>
              <w:jc w:val="center"/>
              <w:ind w:right="50"/>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396.4915</w:t>
            </w:r>
            <w:r>
              <w:rPr>
                <w:rFonts w:ascii="Times New Roman" w:cs="Times New Roman" w:eastAsia="Times New Roman" w:hAnsi="Times New Roman"/>
                <w:sz w:val="22"/>
                <w:szCs w:val="22"/>
                <w:color w:val="008000"/>
                <w:w w:val="95"/>
                <w:vertAlign w:val="superscript"/>
              </w:rPr>
              <w:t>(4)</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28"/>
              <w:spacing w:after="0"/>
              <w:rPr>
                <w:sz w:val="20"/>
                <w:szCs w:val="20"/>
                <w:color w:val="auto"/>
              </w:rPr>
            </w:pPr>
            <w:r>
              <w:rPr>
                <w:rFonts w:ascii="Times New Roman" w:cs="Times New Roman" w:eastAsia="Times New Roman" w:hAnsi="Times New Roman"/>
                <w:sz w:val="17"/>
                <w:szCs w:val="17"/>
                <w:color w:val="0000FF"/>
                <w:w w:val="99"/>
              </w:rPr>
              <w:t>5,744</w:t>
            </w:r>
          </w:p>
        </w:tc>
        <w:tc>
          <w:tcPr>
            <w:tcW w:w="920" w:type="dxa"/>
            <w:vAlign w:val="bottom"/>
            <w:tcBorders>
              <w:bottom w:val="single" w:sz="8" w:color="2C2C2C"/>
            </w:tcBorders>
          </w:tcPr>
          <w:p>
            <w:pPr>
              <w:jc w:val="center"/>
              <w:ind w:right="29"/>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06/24/2026</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165</w:t>
            </w:r>
          </w:p>
        </w:tc>
        <w:tc>
          <w:tcPr>
            <w:tcW w:w="460" w:type="dxa"/>
            <w:vAlign w:val="bottom"/>
            <w:tcBorders>
              <w:bottom w:val="single" w:sz="8" w:color="2C2C2C"/>
            </w:tcBorders>
          </w:tcPr>
          <w:p>
            <w:pPr>
              <w:jc w:val="center"/>
              <w:ind w:right="50"/>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398.3154</w:t>
            </w:r>
            <w:r>
              <w:rPr>
                <w:rFonts w:ascii="Times New Roman" w:cs="Times New Roman" w:eastAsia="Times New Roman" w:hAnsi="Times New Roman"/>
                <w:sz w:val="22"/>
                <w:szCs w:val="22"/>
                <w:color w:val="008000"/>
                <w:w w:val="95"/>
                <w:vertAlign w:val="superscript"/>
              </w:rPr>
              <w:t>(5)</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28"/>
              <w:spacing w:after="0"/>
              <w:rPr>
                <w:sz w:val="20"/>
                <w:szCs w:val="20"/>
                <w:color w:val="auto"/>
              </w:rPr>
            </w:pPr>
            <w:r>
              <w:rPr>
                <w:rFonts w:ascii="Times New Roman" w:cs="Times New Roman" w:eastAsia="Times New Roman" w:hAnsi="Times New Roman"/>
                <w:sz w:val="17"/>
                <w:szCs w:val="17"/>
                <w:color w:val="0000FF"/>
                <w:w w:val="99"/>
              </w:rPr>
              <w:t>5,579</w:t>
            </w:r>
          </w:p>
        </w:tc>
        <w:tc>
          <w:tcPr>
            <w:tcW w:w="920" w:type="dxa"/>
            <w:vAlign w:val="bottom"/>
            <w:tcBorders>
              <w:bottom w:val="single" w:sz="8" w:color="2C2C2C"/>
            </w:tcBorders>
          </w:tcPr>
          <w:p>
            <w:pPr>
              <w:jc w:val="center"/>
              <w:ind w:right="29"/>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06/24/2026</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29</w:t>
            </w:r>
          </w:p>
        </w:tc>
        <w:tc>
          <w:tcPr>
            <w:tcW w:w="460" w:type="dxa"/>
            <w:vAlign w:val="bottom"/>
            <w:tcBorders>
              <w:bottom w:val="single" w:sz="8" w:color="2C2C2C"/>
            </w:tcBorders>
          </w:tcPr>
          <w:p>
            <w:pPr>
              <w:jc w:val="center"/>
              <w:ind w:right="50"/>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399.96</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28"/>
              <w:spacing w:after="0"/>
              <w:rPr>
                <w:sz w:val="20"/>
                <w:szCs w:val="20"/>
                <w:color w:val="auto"/>
              </w:rPr>
            </w:pPr>
            <w:r>
              <w:rPr>
                <w:rFonts w:ascii="Times New Roman" w:cs="Times New Roman" w:eastAsia="Times New Roman" w:hAnsi="Times New Roman"/>
                <w:sz w:val="17"/>
                <w:szCs w:val="17"/>
                <w:color w:val="0000FF"/>
                <w:w w:val="99"/>
              </w:rPr>
              <w:t>5,550</w:t>
            </w:r>
          </w:p>
        </w:tc>
        <w:tc>
          <w:tcPr>
            <w:tcW w:w="920" w:type="dxa"/>
            <w:vAlign w:val="bottom"/>
            <w:tcBorders>
              <w:bottom w:val="single" w:sz="8" w:color="2C2C2C"/>
            </w:tcBorders>
          </w:tcPr>
          <w:p>
            <w:pPr>
              <w:jc w:val="center"/>
              <w:ind w:right="29"/>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vMerge w:val="restart"/>
          </w:tcPr>
          <w:p>
            <w:pPr>
              <w:jc w:val="center"/>
              <w:ind w:right="328"/>
              <w:spacing w:after="0"/>
              <w:rPr>
                <w:sz w:val="20"/>
                <w:szCs w:val="20"/>
                <w:color w:val="auto"/>
              </w:rPr>
            </w:pPr>
            <w:r>
              <w:rPr>
                <w:rFonts w:ascii="Times New Roman" w:cs="Times New Roman" w:eastAsia="Times New Roman" w:hAnsi="Times New Roman"/>
                <w:sz w:val="17"/>
                <w:szCs w:val="17"/>
                <w:color w:val="0000FF"/>
              </w:rPr>
              <w:t>839</w:t>
            </w:r>
          </w:p>
        </w:tc>
        <w:tc>
          <w:tcPr>
            <w:tcW w:w="920" w:type="dxa"/>
            <w:vAlign w:val="bottom"/>
            <w:vMerge w:val="restart"/>
          </w:tcPr>
          <w:p>
            <w:pPr>
              <w:jc w:val="center"/>
              <w:ind w:right="29"/>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6. Date Exercisable and</w:t>
            </w:r>
          </w:p>
        </w:tc>
        <w:tc>
          <w:tcPr>
            <w:tcW w:w="1180" w:type="dxa"/>
            <w:vAlign w:val="bottom"/>
            <w:gridSpan w:val="3"/>
          </w:tcPr>
          <w:p>
            <w:pPr>
              <w:ind w:left="18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Security (Instr.</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occurred automatically pursuant to a Rule 10b5-1 trading plan adopted by the Reporting Person on November 25, 2024.</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$391.1300 to $391.3800,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$392.1500 to $392.8300,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$396.0700 to $396.8350,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$398.0000 to $398.6100,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owned directly by The Jantzen/Mayer Family 2002 Trust, of which the Reporting Person is a trustee. The Reporting Person disclaims beneficial ownership of these securities, except to the extent, if any, of her pecuniary interest therein, and the filing of this Form 4 is not an admission that the Reporting Person is the beneficial owner of these securities for purposes of Section 16 or for any other purpose.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Philip Mazzara, Attorney-</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06/26/2026</w:t>
            </w: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63" w:orient="portrait"/>
          <w:cols w:equalWidth="0" w:num="1">
            <w:col w:w="11080"/>
          </w:cols>
          <w:pgMar w:left="460" w:top="219" w:right="359" w:bottom="0" w:gutter="0" w:footer="0" w:header="0"/>
          <w:type w:val="continuous"/>
        </w:sectPr>
      </w:pPr>
    </w:p>
    <w:bookmarkStart w:id="1" w:name="page2"/>
    <w:bookmarkEnd w:id="1"/>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53"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05693" TargetMode="External"/><Relationship Id="rId14" Type="http://schemas.openxmlformats.org/officeDocument/2006/relationships/hyperlink" Target="http://www.sec.gov/cgi-bin/browse-edgar?action=getcompany&amp;CIK=00017362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2026-06-26T17:45:42Z</dcterms:created>
  <dcterms:modified xsi:type="dcterms:W3CDTF">2026-06-26T17:45:42Z</dcterms:modified>
</cp:coreProperties>
</file>