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tbl>
      <w:tblPr>
        <w:tblW w:w="2873" w:type="dxa"/>
        <w:jc w:val="center"/>
        <w:tblInd w:w="0" w:type="dxa"/>
        <w:tblLayout w:type="fixed"/>
        <w:tblCellMar>
          <w:top w:w="28" w:type="dxa"/>
          <w:left w:w="28" w:type="dxa"/>
          <w:bottom w:w="28" w:type="dxa"/>
          <w:right w:w="28" w:type="dxa"/>
        </w:tblCellMar>
      </w:tblPr>
      <w:tblGrid>
        <w:gridCol w:w="124"/>
        <w:gridCol w:w="109"/>
        <w:gridCol w:w="109"/>
        <w:gridCol w:w="719"/>
        <w:gridCol w:w="719"/>
        <w:gridCol w:w="7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181717"/>
          <w:sz w:val="20"/>
        </w:rPr>
      </w:pPr>
      <w:r>
        <w:rPr>
          <w:rFonts w:ascii="Times New Roman;serif" w:hAnsi="Times New Roman;serif"/>
          <w:b/>
          <w:color w:val="181717"/>
          <w:sz w:val="20"/>
        </w:rPr>
        <w:t xml:space="preserve">For the transition period from __ to __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001-41979</w:t>
      </w:r>
    </w:p>
    <w:p>
      <w:pPr>
        <w:pStyle w:val="TextBody"/>
        <w:bidi w:val="0"/>
        <w:spacing w:before="0" w:after="0"/>
        <w:jc w:val="center"/>
        <w:rPr/>
      </w:pPr>
      <w:r>
        <w:rPr/>
      </w:r>
    </w:p>
    <w:tbl>
      <w:tblPr>
        <w:tblW w:w="3443" w:type="dxa"/>
        <w:jc w:val="center"/>
        <w:tblInd w:w="0" w:type="dxa"/>
        <w:tblLayout w:type="fixed"/>
        <w:tblCellMar>
          <w:top w:w="28" w:type="dxa"/>
          <w:left w:w="28" w:type="dxa"/>
          <w:bottom w:w="28" w:type="dxa"/>
          <w:right w:w="28" w:type="dxa"/>
        </w:tblCellMar>
      </w:tblPr>
      <w:tblGrid>
        <w:gridCol w:w="124"/>
        <w:gridCol w:w="109"/>
        <w:gridCol w:w="109"/>
        <w:gridCol w:w="909"/>
        <w:gridCol w:w="909"/>
        <w:gridCol w:w="9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Astera Labs,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5095" w:type="dxa"/>
        <w:jc w:val="left"/>
        <w:tblInd w:w="0" w:type="dxa"/>
        <w:tblLayout w:type="fixed"/>
        <w:tblCellMar>
          <w:top w:w="28" w:type="dxa"/>
          <w:left w:w="28" w:type="dxa"/>
          <w:bottom w:w="28" w:type="dxa"/>
          <w:right w:w="28" w:type="dxa"/>
        </w:tblCellMar>
      </w:tblPr>
      <w:tblGrid>
        <w:gridCol w:w="933"/>
        <w:gridCol w:w="819"/>
        <w:gridCol w:w="828"/>
        <w:gridCol w:w="179"/>
        <w:gridCol w:w="179"/>
        <w:gridCol w:w="181"/>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82-3437062</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2345 North First Street, San Jose, CA 95131</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09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(408)</w:t>
            </w:r>
          </w:p>
        </w:tc>
        <w:tc>
          <w:tcPr>
            <w:tcW w:w="19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766-3806</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ALAB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x</w:t>
      </w:r>
      <w:r>
        <w:rPr>
          <w:color w:val="181717"/>
        </w:rPr>
        <w:t>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24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x</w:t>
      </w:r>
      <w:r>
        <w:rPr>
          <w:color w:val="181717"/>
        </w:rPr>
        <w:t>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24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40" w:after="283"/>
        <w:jc w:val="both"/>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24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o</w:t>
      </w:r>
      <w:r>
        <w:rPr>
          <w:color w:val="181717"/>
        </w:rPr>
        <w:t>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240" w:after="283"/>
        <w:jc w:val="both"/>
        <w:rPr>
          <w:rFonts w:ascii="Times New Roman;serif" w:hAnsi="Times New Roman;serif"/>
          <w:b w:val="false"/>
          <w:color w:val="181717"/>
          <w:sz w:val="20"/>
        </w:rPr>
      </w:pPr>
      <w:r>
        <w:rPr>
          <w:rFonts w:ascii="Times New Roman;serif" w:hAnsi="Times New Roman;serif"/>
          <w:b w:val="false"/>
          <w:color w:val="181717"/>
          <w:sz w:val="20"/>
        </w:rPr>
        <w:t>As of July 31, 2026, there were 173,485,104 shares of the Registrant’s Common Stock, $0.0001 par value,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f085c684a214624a7920190292d1d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91"/>
        <w:gridCol w:w="391"/>
        <w:gridCol w:w="358"/>
        <w:gridCol w:w="2885"/>
        <w:gridCol w:w="2769"/>
        <w:gridCol w:w="2737"/>
        <w:gridCol w:w="167"/>
        <w:gridCol w:w="167"/>
        <w:gridCol w:w="240"/>
      </w:tblGrid>
      <w:tr>
        <w:trPr/>
        <w:tc>
          <w:tcPr>
            <w:tcW w:w="4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0">
              <w:r>
                <w:rPr>
                  <w:rStyle w:val="InternetLink"/>
                  <w:rFonts w:ascii="Times New Roman;serif" w:hAnsi="Times New Roman;serif"/>
                  <w:b/>
                  <w:strike w:val="false"/>
                  <w:dstrike w:val="false"/>
                  <w:color w:val="000000"/>
                  <w:sz w:val="20"/>
                  <w:u w:val="none"/>
                  <w:effect w:val="none"/>
                </w:rPr>
                <w:t>Part I - Financial Information</w:t>
              </w:r>
            </w:hyperlink>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3">
              <w:r>
                <w:rPr>
                  <w:rStyle w:val="InternetLink"/>
                  <w:rFonts w:ascii="Times New Roman;serif" w:hAnsi="Times New Roman;serif"/>
                  <w:b w:val="false"/>
                  <w:strike w:val="false"/>
                  <w:dstrike w:val="false"/>
                  <w:color w:val="000000"/>
                  <w:sz w:val="20"/>
                  <w:u w:val="none"/>
                  <w:effect w:val="none"/>
                </w:rPr>
                <w:t>Item 1.</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0">
              <w:r>
                <w:rPr>
                  <w:rStyle w:val="InternetLink"/>
                  <w:rFonts w:ascii="Times New Roman;serif" w:hAnsi="Times New Roman;serif"/>
                  <w:b w:val="false"/>
                  <w:color w:val="0000FF"/>
                  <w:sz w:val="20"/>
                  <w:u w:val="single"/>
                </w:rPr>
                <w:t>Financial Statements (Unaudited)</w:t>
              </w:r>
            </w:hyperlink>
            <w:r>
              <w:rPr>
                <w:color w:val="000000"/>
              </w:rPr>
              <w:t xml:space="preserve"> </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6">
              <w:r>
                <w:rPr>
                  <w:rStyle w:val="InternetLink"/>
                  <w:rFonts w:ascii="Times New Roman;serif" w:hAnsi="Times New Roman;serif"/>
                  <w:b w:val="false"/>
                  <w:color w:val="0000FF"/>
                  <w:sz w:val="20"/>
                  <w:u w:val="single"/>
                </w:rPr>
                <w:t>Condensed Consolidated Balance Sheets as of June 30,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6">
              <w:r>
                <w:rPr>
                  <w:rStyle w:val="InternetLink"/>
                  <w:rFonts w:ascii="Times New Roman;serif" w:hAnsi="Times New Roman;serif"/>
                  <w:b w:val="false"/>
                  <w:color w:val="0000FF"/>
                  <w:sz w:val="20"/>
                  <w:u w:val="single"/>
                </w:rPr>
                <w:t>1</w:t>
              </w:r>
            </w:hyperlink>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9">
              <w:r>
                <w:rPr>
                  <w:rStyle w:val="InternetLink"/>
                  <w:rFonts w:ascii="Times New Roman;serif" w:hAnsi="Times New Roman;serif"/>
                  <w:b w:val="false"/>
                  <w:color w:val="0000FF"/>
                  <w:sz w:val="20"/>
                  <w:u w:val="single"/>
                </w:rPr>
                <w:t>Condensed Consolidated Statements of Operations and Comprehensive Income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9">
              <w:r>
                <w:rPr>
                  <w:rStyle w:val="InternetLink"/>
                  <w:rFonts w:ascii="Times New Roman;serif" w:hAnsi="Times New Roman;serif"/>
                  <w:b w:val="false"/>
                  <w:color w:val="0000FF"/>
                  <w:sz w:val="20"/>
                  <w:u w:val="single"/>
                </w:rPr>
                <w:t>2</w:t>
              </w:r>
            </w:hyperlink>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22">
              <w:r>
                <w:rPr>
                  <w:rStyle w:val="InternetLink"/>
                  <w:rFonts w:ascii="Times New Roman;serif" w:hAnsi="Times New Roman;serif"/>
                  <w:b w:val="false"/>
                  <w:color w:val="0000FF"/>
                  <w:sz w:val="20"/>
                  <w:u w:val="single"/>
                </w:rPr>
                <w:t>Condensed Consolidated Statements of Changes in Stockholders' Equity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22">
              <w:r>
                <w:rPr>
                  <w:rStyle w:val="InternetLink"/>
                  <w:rFonts w:ascii="Times New Roman;serif" w:hAnsi="Times New Roman;serif"/>
                  <w:b w:val="false"/>
                  <w:color w:val="0000FF"/>
                  <w:sz w:val="20"/>
                  <w:u w:val="single"/>
                </w:rPr>
                <w:t>3</w:t>
              </w:r>
            </w:hyperlink>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28">
              <w:r>
                <w:rPr>
                  <w:rStyle w:val="InternetLink"/>
                  <w:rFonts w:ascii="Times New Roman;serif" w:hAnsi="Times New Roman;serif"/>
                  <w:b w:val="false"/>
                  <w:color w:val="0000FF"/>
                  <w:sz w:val="20"/>
                  <w:u w:val="single"/>
                </w:rPr>
                <w:t>5</w:t>
              </w:r>
            </w:hyperlink>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31">
              <w:r>
                <w:rPr>
                  <w:rStyle w:val="InternetLink"/>
                  <w:rFonts w:ascii="Times New Roman;serif" w:hAnsi="Times New Roman;serif"/>
                  <w:b w:val="false"/>
                  <w:color w:val="0000FF"/>
                  <w:sz w:val="20"/>
                  <w:u w:val="single"/>
                </w:rPr>
                <w:t>Notes to Unaudited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31">
              <w:r>
                <w:rPr>
                  <w:rStyle w:val="InternetLink"/>
                  <w:rFonts w:ascii="Times New Roman;serif" w:hAnsi="Times New Roman;serif"/>
                  <w:b w:val="false"/>
                  <w:color w:val="0000FF"/>
                  <w:sz w:val="20"/>
                  <w:u w:val="single"/>
                </w:rPr>
                <w:t>6</w:t>
              </w:r>
            </w:hyperlink>
            <w:r>
              <w:rPr>
                <w:color w:val="000000"/>
              </w:rPr>
              <w:t xml:space="preserve"> </w:t>
            </w:r>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85">
              <w:r>
                <w:rPr>
                  <w:rStyle w:val="InternetLink"/>
                  <w:rFonts w:ascii="Times New Roman;serif" w:hAnsi="Times New Roman;serif"/>
                  <w:b w:val="false"/>
                  <w:strike w:val="false"/>
                  <w:dstrike w:val="false"/>
                  <w:color w:val="000000"/>
                  <w:sz w:val="20"/>
                  <w:u w:val="none"/>
                  <w:effect w:val="none"/>
                </w:rPr>
                <w:t>Item 2.</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85">
              <w:r>
                <w:rPr>
                  <w:rStyle w:val="InternetLink"/>
                  <w:rFonts w:ascii="Times New Roman;serif" w:hAnsi="Times New Roman;serif"/>
                  <w:b w:val="false"/>
                  <w:color w:val="0000FF"/>
                  <w:sz w:val="20"/>
                  <w:u w:val="single"/>
                </w:rPr>
                <w:t>19</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30">
              <w:r>
                <w:rPr>
                  <w:rStyle w:val="InternetLink"/>
                  <w:rFonts w:ascii="Times New Roman;serif" w:hAnsi="Times New Roman;serif"/>
                  <w:b w:val="false"/>
                  <w:strike w:val="false"/>
                  <w:dstrike w:val="false"/>
                  <w:color w:val="000000"/>
                  <w:sz w:val="20"/>
                  <w:u w:val="none"/>
                  <w:effect w:val="none"/>
                </w:rPr>
                <w:t>Item 3.</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30">
              <w:r>
                <w:rPr>
                  <w:rStyle w:val="InternetLink"/>
                  <w:rFonts w:ascii="Times New Roman;serif" w:hAnsi="Times New Roman;serif"/>
                  <w:b w:val="false"/>
                  <w:color w:val="0000FF"/>
                  <w:sz w:val="20"/>
                  <w:u w:val="single"/>
                </w:rPr>
                <w:t>Quantitative and Qualitative Disclosure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30">
              <w:r>
                <w:rPr>
                  <w:rStyle w:val="InternetLink"/>
                  <w:rFonts w:ascii="Times New Roman;serif" w:hAnsi="Times New Roman;serif"/>
                  <w:b w:val="false"/>
                  <w:color w:val="0000FF"/>
                  <w:sz w:val="20"/>
                  <w:u w:val="single"/>
                </w:rPr>
                <w:t>27</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36">
              <w:r>
                <w:rPr>
                  <w:rStyle w:val="InternetLink"/>
                  <w:rFonts w:ascii="Times New Roman;serif" w:hAnsi="Times New Roman;serif"/>
                  <w:b w:val="false"/>
                  <w:strike w:val="false"/>
                  <w:dstrike w:val="false"/>
                  <w:color w:val="000000"/>
                  <w:sz w:val="20"/>
                  <w:u w:val="none"/>
                  <w:effect w:val="none"/>
                </w:rPr>
                <w:t>Item 4.</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36">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36">
              <w:r>
                <w:rPr>
                  <w:rStyle w:val="InternetLink"/>
                  <w:rFonts w:ascii="Times New Roman;serif" w:hAnsi="Times New Roman;serif"/>
                  <w:b w:val="false"/>
                  <w:color w:val="0000FF"/>
                  <w:sz w:val="20"/>
                  <w:u w:val="single"/>
                </w:rPr>
                <w:t>27</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39">
              <w:r>
                <w:rPr>
                  <w:rStyle w:val="InternetLink"/>
                  <w:rFonts w:ascii="Times New Roman;serif" w:hAnsi="Times New Roman;serif"/>
                  <w:b/>
                  <w:strike w:val="false"/>
                  <w:dstrike w:val="false"/>
                  <w:color w:val="000000"/>
                  <w:sz w:val="20"/>
                  <w:u w:val="none"/>
                  <w:effect w:val="non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42">
              <w:r>
                <w:rPr>
                  <w:rStyle w:val="InternetLink"/>
                  <w:rFonts w:ascii="Times New Roman;serif" w:hAnsi="Times New Roman;serif"/>
                  <w:b w:val="false"/>
                  <w:strike w:val="false"/>
                  <w:dstrike w:val="false"/>
                  <w:color w:val="000000"/>
                  <w:sz w:val="20"/>
                  <w:u w:val="none"/>
                  <w:effect w:val="none"/>
                </w:rPr>
                <w:t>Item 1.</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42">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42">
              <w:r>
                <w:rPr>
                  <w:rStyle w:val="InternetLink"/>
                  <w:rFonts w:ascii="Times New Roman;serif" w:hAnsi="Times New Roman;serif"/>
                  <w:b w:val="false"/>
                  <w:color w:val="0000FF"/>
                  <w:sz w:val="20"/>
                  <w:u w:val="single"/>
                </w:rPr>
                <w:t>29</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45">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45">
              <w:r>
                <w:rPr>
                  <w:rStyle w:val="InternetLink"/>
                  <w:rFonts w:ascii="Times New Roman;serif" w:hAnsi="Times New Roman;serif"/>
                  <w:b w:val="false"/>
                  <w:color w:val="0000FF"/>
                  <w:sz w:val="20"/>
                  <w:u w:val="single"/>
                </w:rPr>
                <w:t>29</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48">
              <w:r>
                <w:rPr>
                  <w:rStyle w:val="InternetLink"/>
                  <w:rFonts w:ascii="Times New Roman;serif" w:hAnsi="Times New Roman;serif"/>
                  <w:b w:val="false"/>
                  <w:strike w:val="false"/>
                  <w:dstrike w:val="false"/>
                  <w:color w:val="000000"/>
                  <w:sz w:val="20"/>
                  <w:u w:val="none"/>
                  <w:effect w:val="none"/>
                </w:rPr>
                <w:t>Item 2.</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48">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48">
              <w:r>
                <w:rPr>
                  <w:rStyle w:val="InternetLink"/>
                  <w:rFonts w:ascii="Times New Roman;serif" w:hAnsi="Times New Roman;serif"/>
                  <w:b w:val="false"/>
                  <w:color w:val="0000FF"/>
                  <w:sz w:val="20"/>
                  <w:u w:val="single"/>
                </w:rPr>
                <w:t>29</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51">
              <w:r>
                <w:rPr>
                  <w:rStyle w:val="InternetLink"/>
                  <w:rFonts w:ascii="Times New Roman;serif" w:hAnsi="Times New Roman;serif"/>
                  <w:b w:val="false"/>
                  <w:strike w:val="false"/>
                  <w:dstrike w:val="false"/>
                  <w:color w:val="000000"/>
                  <w:sz w:val="20"/>
                  <w:u w:val="none"/>
                  <w:effect w:val="none"/>
                </w:rPr>
                <w:t>Item 3.</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51">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51">
              <w:r>
                <w:rPr>
                  <w:rStyle w:val="InternetLink"/>
                  <w:rFonts w:ascii="Times New Roman;serif" w:hAnsi="Times New Roman;serif"/>
                  <w:b w:val="false"/>
                  <w:color w:val="0000FF"/>
                  <w:sz w:val="20"/>
                  <w:u w:val="single"/>
                </w:rPr>
                <w:t>29</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54">
              <w:r>
                <w:rPr>
                  <w:rStyle w:val="InternetLink"/>
                  <w:rFonts w:ascii="Times New Roman;serif" w:hAnsi="Times New Roman;serif"/>
                  <w:b w:val="false"/>
                  <w:strike w:val="false"/>
                  <w:dstrike w:val="false"/>
                  <w:color w:val="000000"/>
                  <w:sz w:val="20"/>
                  <w:u w:val="none"/>
                  <w:effect w:val="none"/>
                </w:rPr>
                <w:t>Item 4.</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54">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54">
              <w:r>
                <w:rPr>
                  <w:rStyle w:val="InternetLink"/>
                  <w:rFonts w:ascii="Times New Roman;serif" w:hAnsi="Times New Roman;serif"/>
                  <w:b w:val="false"/>
                  <w:color w:val="0000FF"/>
                  <w:sz w:val="20"/>
                  <w:u w:val="single"/>
                </w:rPr>
                <w:t>29</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57">
              <w:r>
                <w:rPr>
                  <w:rStyle w:val="InternetLink"/>
                  <w:rFonts w:ascii="Times New Roman;serif" w:hAnsi="Times New Roman;serif"/>
                  <w:b w:val="false"/>
                  <w:strike w:val="false"/>
                  <w:dstrike w:val="false"/>
                  <w:color w:val="000000"/>
                  <w:sz w:val="20"/>
                  <w:u w:val="none"/>
                  <w:effect w:val="none"/>
                </w:rPr>
                <w:t>Item 5.</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63">
              <w:bookmarkStart w:id="0" w:name="ia249535b0ee74fc78be97b04577fce1b_17-1-1"/>
              <w:bookmarkEnd w:id="0"/>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63">
              <w:r>
                <w:rPr>
                  <w:rStyle w:val="InternetLink"/>
                  <w:rFonts w:ascii="Times New Roman;serif" w:hAnsi="Times New Roman;serif"/>
                  <w:b w:val="false"/>
                  <w:color w:val="0000FF"/>
                  <w:sz w:val="20"/>
                  <w:u w:val="single"/>
                </w:rPr>
                <w:t>29</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69">
              <w:r>
                <w:rPr>
                  <w:rStyle w:val="InternetLink"/>
                  <w:rFonts w:ascii="Times New Roman;serif" w:hAnsi="Times New Roman;serif"/>
                  <w:b w:val="false"/>
                  <w:strike w:val="false"/>
                  <w:dstrike w:val="false"/>
                  <w:color w:val="000000"/>
                  <w:sz w:val="20"/>
                  <w:u w:val="none"/>
                  <w:effect w:val="none"/>
                </w:rPr>
                <w:t>Item 6.</w:t>
              </w:r>
            </w:hyperlink>
          </w:p>
        </w:tc>
        <w:tc>
          <w:tcPr>
            <w:tcW w:w="8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69">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69">
              <w:r>
                <w:rPr>
                  <w:rStyle w:val="InternetLink"/>
                  <w:rFonts w:ascii="Times New Roman;serif" w:hAnsi="Times New Roman;serif"/>
                  <w:b w:val="false"/>
                  <w:color w:val="0000FF"/>
                  <w:sz w:val="20"/>
                  <w:u w:val="single"/>
                </w:rPr>
                <w:t>30</w:t>
              </w:r>
            </w:hyperlink>
          </w:p>
        </w:tc>
      </w:tr>
      <w:tr>
        <w:trPr/>
        <w:tc>
          <w:tcPr>
            <w:tcW w:w="1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085c684a214624a7920190292d1df3_172">
              <w:r>
                <w:rPr>
                  <w:rStyle w:val="InternetLink"/>
                  <w:rFonts w:ascii="Times New Roman;serif" w:hAnsi="Times New Roman;serif"/>
                  <w:b w:val="false"/>
                  <w:color w:val="0000FF"/>
                  <w:sz w:val="20"/>
                  <w:u w:val="single"/>
                </w:rPr>
                <w:t>Signatures</w:t>
              </w:r>
            </w:hyperlink>
          </w:p>
        </w:tc>
        <w:tc>
          <w:tcPr>
            <w:tcW w:w="8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f085c684a214624a7920190292d1df3_172">
              <w:r>
                <w:rPr>
                  <w:rStyle w:val="InternetLink"/>
                  <w:rFonts w:ascii="Times New Roman;serif" w:hAnsi="Times New Roman;serif"/>
                  <w:b w:val="false"/>
                  <w:color w:val="0000FF"/>
                  <w:sz w:val="20"/>
                  <w:u w:val="single"/>
                </w:rPr>
                <w:t>31</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f085c684a214624a7920190292d1df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about Forward-Looking Statements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Quarterly Report on Form 10</w:t>
        <w:noBreakHyphen/>
        <w:t xml:space="preserve">Q, including statements regarding our strategy, future operations, financial position, prospects, plans and objectives of management are forward-looking statements. In some cases, you can identify forward-looking statements because they contain words such as “aims,” “anticipated,” “believe,” “budget,” “can,” “committed,” “continued,” “could,” “designed,” “estimates,” “expect,” “forecasted,” “future,” “growing,” “indicative,” “intended,” “likely,” “may,” “mission,” “opportunities,” “plan,” “position,” “potential,” “predict,” “probable,” “projections,” “scheduled,” “should,” “to be,” “trends,” “uncertainty,” “will,” or “would,” or the negative of these words or other similar terms or expressions. Forward-looking statements include, but are not limited to, statements relating to our business plans, strategies, market or investment opportunities, customers, infrastructure, platform, products and services, including future production and investments therein and anticipated benefits therefrom; demand; our future financial or operating statements, performance and growth (such as revenue, gross profit and margins, expenses, income (losses) and other operating results); our future cash flows, expenditures, requirements, uses, sufficiency and funding sources; our accounting practices and policies (including the impacts associated with them and accounting pronouncements, estimates, accruals, amortizations, marketable securities, commitments/contingencies, warrant vesting, the period over which expenses are expected to be realized and non-GAAP financial measures); our taxes; our personnel and operations; our disclosure and internal controls, procedures and remediation efforts; our lease terms, including any renewal and future payments; our risk factors; our merger and acquisition activities; and our legal and compliance matters such as legal proceedings and 10b5-1 trading arrangements.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not actually achieve the plans, intentions, expectations or events disclosed in our forward-looking statements, and you should not place undue reliance on our forward-looking statements. Forward-looking statements are subject to risks, uncertainties and other factors described under the heading “Risk Factors” included in this Quarterly Report on Form 10</w:t>
        <w:noBreakHyphen/>
        <w:t>Q and those included within our Annual Report on Form 10-K filed with the U.S. Securities and Exchange Commission (“SEC”) on February 20, 2026. The following include some, but not all, of the factors that could cause the outcome of the events described in our forward-looking statements to differ from those anticipated: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sustain and manage our growth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future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accurately predict future revenue for appropriate budgeting and expense adjustment;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anticipate and respond to new and evolving market trends or industry standards, develop and sell new products, or penetrate new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customer concentration, with a limited number of end customers driving our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achieve product design wins and opportunities for customer sales and investment recoupment;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adequately foresee and manage the effects and timing of any changes in cloud and AI infrastructure market conditions and our customers' product purchases and deployment of systems incorporating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demonstrate the value of new products or newer product generations to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AI technology adoption, use, and commercialization;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and relationship management of, a limited number of third-party manufacturing and supply chain services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qualify our products with customers without significant delays;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product pricings often decrease over time;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product supply disruptions, unforeseen product delays, expenses or undetected defects, bugs, or security vulnerabilities;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the political, regulatory, and economic policies of governments, including in connection with trade restrictions and export controls with respect to China and Chinese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hire and retain skilled personnel and senior management team members;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warranty claims or product liability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litigation and other legal proceedings, including related to patents or other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integrate and to realize anticipated benefits or synergies, on a timely basis or at all, in connection with our past, current, or any future acquisitions, divestitures, significant investments, joint ventures or strategic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f085c684a214624a7920190292d1d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global operational risks, including exposure to numerous legal and regulatory requirements and unexpected changes and compliance failures;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risks of authorities in jurisdictions into or from which we ship our products or import supplies levying fines, restricting or delaying our product exports or supply imports, or increasing product manufacturing or transfer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rules or practices;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competitive markets and ability to compete effectively, including as a result of industry consolidation;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adequately protect our intellectual property rights;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third-party technologies for product development and future ability to use such technologies;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financial and economic conditions and geopolitical events, including fluctuating interest, inflation, foreign currency and unemployment rates, economic slowdowns or recessions, or financial market volatility, including as a result of, among other factors, the ongoing Russia and Ukraine war, the Middle East conflict, announced or future tariff increases and export controls between the U.S. and China, international tensions or instability, significant changes in governmental policies or similar events.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w:t>
        <w:noBreakHyphen/>
        <w:t>Q. You should not rely upon forward-looking statements as predictions of future events.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Quarterly Report on Form 10-Q primarily on management’s current beliefs and our current expectations and projections about future events and trends that we believe may affect our business, results of operations, financial condition, and prospects. In addition, statements that “we believe” and similar statements reflect our beliefs and opinions on the relevant subject. These statements are based upon information available to us as of the date of this Quarterly Report on Form 10</w:t>
        <w:noBreakHyphen/>
        <w:t>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w:t>
        <w:noBreakHyphen/>
        <w:t>Q relate only to events as of the date on which the statements are made. We undertake no obligation to update any forward-looking statements made in this Quarterly Report on Form 10</w:t>
        <w:noBreakHyphen/>
        <w:t>Q to reflect events or circumstances after the date of this Quarterly Report on Form 10</w:t>
        <w:noBreakHyphen/>
        <w:t>Q or to reflect new information or the occurrence of unanticipated events, except as required by law.</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this document, unless otherwise indicated or unless the context requires otherwise, all references in this document to “Astera Labs”, “the Company”, “we”, “us”, “our”, or similar references are to Astera Labs, Inc. and its consolidated subsidiaries.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f085c684a214624a7920190292d1df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CONDENSED CONSOLIDATED BALANCE SHEETS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par values)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10205" w:type="dxa"/>
        <w:jc w:val="center"/>
        <w:tblInd w:w="0" w:type="dxa"/>
        <w:tblLayout w:type="fixed"/>
        <w:tblCellMar>
          <w:top w:w="28" w:type="dxa"/>
          <w:left w:w="28" w:type="dxa"/>
          <w:bottom w:w="28" w:type="dxa"/>
          <w:right w:w="28" w:type="dxa"/>
        </w:tblCellMar>
      </w:tblPr>
      <w:tblGrid>
        <w:gridCol w:w="2740"/>
        <w:gridCol w:w="2247"/>
        <w:gridCol w:w="2180"/>
        <w:gridCol w:w="211"/>
        <w:gridCol w:w="976"/>
        <w:gridCol w:w="109"/>
        <w:gridCol w:w="109"/>
        <w:gridCol w:w="109"/>
        <w:gridCol w:w="109"/>
        <w:gridCol w:w="222"/>
        <w:gridCol w:w="1028"/>
        <w:gridCol w:w="165"/>
      </w:tblGrid>
      <w:tr>
        <w:trPr/>
        <w:tc>
          <w:tcPr>
            <w:tcW w:w="2740"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1,651,895 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1,362,030 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1,931,501 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1,531,823 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164,307 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133,042 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168,189 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 shares authorized as of June 30, 2026 and December 31, 2025; 173,485 and 170,186 shares issued and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1,348,969 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(loss) income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1,725,704 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1,363,634 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1,931,501 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1,531,823 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f085c684a214624a7920190292d1df3_7">
        <w:r>
          <w:rPr>
            <w:rStyle w:val="InternetLink"/>
            <w:rFonts w:ascii="Arial;sans-serif" w:hAnsi="Arial;sans-serif"/>
            <w:b w:val="false"/>
            <w:color w:val="0000FF"/>
            <w:sz w:val="20"/>
            <w:u w:val="single"/>
          </w:rPr>
          <w:t>Table of Content</w:t>
        </w:r>
      </w:hyperlink>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CONDENSED CONSOLIDATED STATEMENTS OF OPERATIONS AND COMPREHENSIVE INCOME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per share amounts)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21"/>
        <w:gridCol w:w="1342"/>
        <w:gridCol w:w="133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92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522,708 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264,974 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198,319 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371,627 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213,915 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51,059 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21,317 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72,376 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83,038 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income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164,316</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178,281</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income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marketable securities, net of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gain</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150,499 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85,486 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lineRule="auto" w:line="288" w:before="0" w:after="0"/>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231F20"/>
          <w:sz w:val="24"/>
        </w:rPr>
      </w:pPr>
      <w:r>
        <w:rPr>
          <w:rFonts w:ascii="Times New Roman;serif" w:hAnsi="Times New Roman;serif"/>
          <w:b/>
          <w:color w:val="231F20"/>
          <w:sz w:val="24"/>
        </w:rPr>
        <w:t>ASTERA LABS, INC.</w:t>
      </w:r>
    </w:p>
    <w:p>
      <w:pPr>
        <w:pStyle w:val="TextBody"/>
        <w:bidi w:val="0"/>
        <w:spacing w:lineRule="auto" w:line="288" w:before="120" w:after="283"/>
        <w:jc w:val="center"/>
        <w:rPr>
          <w:rFonts w:ascii="Times New Roman;serif" w:hAnsi="Times New Roman;serif"/>
          <w:b/>
          <w:color w:val="231F20"/>
          <w:sz w:val="24"/>
        </w:rPr>
      </w:pPr>
      <w:r>
        <w:rPr>
          <w:rFonts w:ascii="Times New Roman;serif" w:hAnsi="Times New Roman;serif"/>
          <w:b/>
          <w:color w:val="231F20"/>
          <w:sz w:val="24"/>
        </w:rPr>
        <w:t xml:space="preserve">CONDENSED CONSOLIDATED STATEMENTS OF CHANGES IN STOCKHOLDERS’ EQUITY </w:t>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(In thousands)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10205" w:type="dxa"/>
        <w:jc w:val="center"/>
        <w:tblInd w:w="0" w:type="dxa"/>
        <w:tblLayout w:type="fixed"/>
        <w:tblCellMar>
          <w:top w:w="28" w:type="dxa"/>
          <w:left w:w="28" w:type="dxa"/>
          <w:bottom w:w="28" w:type="dxa"/>
          <w:right w:w="28" w:type="dxa"/>
        </w:tblCellMar>
      </w:tblPr>
      <w:tblGrid>
        <w:gridCol w:w="919"/>
        <w:gridCol w:w="579"/>
        <w:gridCol w:w="582"/>
        <w:gridCol w:w="109"/>
        <w:gridCol w:w="109"/>
        <w:gridCol w:w="109"/>
        <w:gridCol w:w="229"/>
        <w:gridCol w:w="229"/>
        <w:gridCol w:w="233"/>
        <w:gridCol w:w="109"/>
        <w:gridCol w:w="109"/>
        <w:gridCol w:w="109"/>
        <w:gridCol w:w="208"/>
        <w:gridCol w:w="367"/>
        <w:gridCol w:w="116"/>
        <w:gridCol w:w="109"/>
        <w:gridCol w:w="109"/>
        <w:gridCol w:w="109"/>
        <w:gridCol w:w="196"/>
        <w:gridCol w:w="886"/>
        <w:gridCol w:w="109"/>
        <w:gridCol w:w="109"/>
        <w:gridCol w:w="109"/>
        <w:gridCol w:w="109"/>
        <w:gridCol w:w="272"/>
        <w:gridCol w:w="792"/>
        <w:gridCol w:w="152"/>
        <w:gridCol w:w="109"/>
        <w:gridCol w:w="109"/>
        <w:gridCol w:w="109"/>
        <w:gridCol w:w="211"/>
        <w:gridCol w:w="808"/>
        <w:gridCol w:w="117"/>
        <w:gridCol w:w="109"/>
        <w:gridCol w:w="109"/>
        <w:gridCol w:w="109"/>
        <w:gridCol w:w="196"/>
        <w:gridCol w:w="886"/>
        <w:gridCol w:w="156"/>
      </w:tblGrid>
      <w:tr>
        <w:trPr/>
        <w:tc>
          <w:tcPr>
            <w:tcW w:w="91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0205"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Stockholders’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171,277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1,404,063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(780)</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90,648</w:t>
            </w:r>
            <w:r>
              <w:rPr>
                <w:color w:val="000000"/>
              </w:rPr>
              <w:t>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1,493,948</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upon exercise of stock 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contra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173,485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1,485,320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(3,369)</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243,736</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1,725,704</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888"/>
        <w:gridCol w:w="532"/>
        <w:gridCol w:w="534"/>
        <w:gridCol w:w="109"/>
        <w:gridCol w:w="109"/>
        <w:gridCol w:w="109"/>
        <w:gridCol w:w="229"/>
        <w:gridCol w:w="229"/>
        <w:gridCol w:w="233"/>
        <w:gridCol w:w="109"/>
        <w:gridCol w:w="109"/>
        <w:gridCol w:w="109"/>
        <w:gridCol w:w="208"/>
        <w:gridCol w:w="367"/>
        <w:gridCol w:w="116"/>
        <w:gridCol w:w="109"/>
        <w:gridCol w:w="109"/>
        <w:gridCol w:w="109"/>
        <w:gridCol w:w="196"/>
        <w:gridCol w:w="886"/>
        <w:gridCol w:w="109"/>
        <w:gridCol w:w="109"/>
        <w:gridCol w:w="109"/>
        <w:gridCol w:w="109"/>
        <w:gridCol w:w="291"/>
        <w:gridCol w:w="849"/>
        <w:gridCol w:w="162"/>
        <w:gridCol w:w="109"/>
        <w:gridCol w:w="109"/>
        <w:gridCol w:w="109"/>
        <w:gridCol w:w="196"/>
        <w:gridCol w:w="759"/>
        <w:gridCol w:w="109"/>
        <w:gridCol w:w="109"/>
        <w:gridCol w:w="109"/>
        <w:gridCol w:w="109"/>
        <w:gridCol w:w="196"/>
        <w:gridCol w:w="886"/>
        <w:gridCol w:w="109"/>
        <w:gridCol w:w="159"/>
      </w:tblGrid>
      <w:tr>
        <w:trPr/>
        <w:tc>
          <w:tcPr>
            <w:tcW w:w="88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 xml:space="preserve">Comprehensive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164,907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1,216,495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2,028</w:t>
            </w: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(176,977)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1,041,562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 and vesting of early exercised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contra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166,211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1,258,581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2,874</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1,135,714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39"/>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39"/>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39"/>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v:textbox>
                <w10:wrap type="none"/>
              </v:rect>
            </w:pict>
          </mc:Fallback>
        </mc:AlternateContent>
      </w:r>
    </w:p>
    <w:p>
      <w:pPr>
        <w:pStyle w:val="TextBody"/>
        <w:bidi w:val="0"/>
        <w:spacing w:lineRule="auto" w:line="288" w:before="0" w:after="0"/>
        <w:jc w:val="left"/>
        <w:rPr/>
      </w:pPr>
      <w:hyperlink w:anchor="iff085c684a214624a7920190292d1df3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86"/>
        <w:gridCol w:w="605"/>
        <w:gridCol w:w="607"/>
        <w:gridCol w:w="109"/>
        <w:gridCol w:w="109"/>
        <w:gridCol w:w="109"/>
        <w:gridCol w:w="229"/>
        <w:gridCol w:w="229"/>
        <w:gridCol w:w="233"/>
        <w:gridCol w:w="109"/>
        <w:gridCol w:w="109"/>
        <w:gridCol w:w="109"/>
        <w:gridCol w:w="208"/>
        <w:gridCol w:w="367"/>
        <w:gridCol w:w="116"/>
        <w:gridCol w:w="109"/>
        <w:gridCol w:w="109"/>
        <w:gridCol w:w="109"/>
        <w:gridCol w:w="196"/>
        <w:gridCol w:w="886"/>
        <w:gridCol w:w="109"/>
        <w:gridCol w:w="109"/>
        <w:gridCol w:w="109"/>
        <w:gridCol w:w="109"/>
        <w:gridCol w:w="272"/>
        <w:gridCol w:w="792"/>
        <w:gridCol w:w="152"/>
        <w:gridCol w:w="109"/>
        <w:gridCol w:w="109"/>
        <w:gridCol w:w="109"/>
        <w:gridCol w:w="207"/>
        <w:gridCol w:w="796"/>
        <w:gridCol w:w="115"/>
        <w:gridCol w:w="109"/>
        <w:gridCol w:w="109"/>
        <w:gridCol w:w="109"/>
        <w:gridCol w:w="196"/>
        <w:gridCol w:w="886"/>
        <w:gridCol w:w="156"/>
      </w:tblGrid>
      <w:tr>
        <w:trPr/>
        <w:tc>
          <w:tcPr>
            <w:tcW w:w="88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0205"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Stockholders’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170,186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1,348,969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4,310</w:t>
            </w:r>
            <w:r>
              <w:rPr>
                <w:color w:val="000000"/>
              </w:rPr>
              <w:t>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10,338</w:t>
            </w:r>
            <w:r>
              <w:rPr>
                <w:color w:val="000000"/>
              </w:rPr>
              <w:t>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1,363,634</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 and vesting of early exercised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116,875 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contra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(7,679)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233,398 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233,398 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173,485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1,485,320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(3,369)</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243,736</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1,725,704</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867"/>
        <w:gridCol w:w="586"/>
        <w:gridCol w:w="588"/>
        <w:gridCol w:w="109"/>
        <w:gridCol w:w="109"/>
        <w:gridCol w:w="109"/>
        <w:gridCol w:w="229"/>
        <w:gridCol w:w="229"/>
        <w:gridCol w:w="233"/>
        <w:gridCol w:w="109"/>
        <w:gridCol w:w="109"/>
        <w:gridCol w:w="109"/>
        <w:gridCol w:w="208"/>
        <w:gridCol w:w="367"/>
        <w:gridCol w:w="116"/>
        <w:gridCol w:w="109"/>
        <w:gridCol w:w="109"/>
        <w:gridCol w:w="109"/>
        <w:gridCol w:w="196"/>
        <w:gridCol w:w="886"/>
        <w:gridCol w:w="109"/>
        <w:gridCol w:w="109"/>
        <w:gridCol w:w="109"/>
        <w:gridCol w:w="109"/>
        <w:gridCol w:w="272"/>
        <w:gridCol w:w="792"/>
        <w:gridCol w:w="152"/>
        <w:gridCol w:w="109"/>
        <w:gridCol w:w="109"/>
        <w:gridCol w:w="109"/>
        <w:gridCol w:w="196"/>
        <w:gridCol w:w="760"/>
        <w:gridCol w:w="109"/>
        <w:gridCol w:w="109"/>
        <w:gridCol w:w="109"/>
        <w:gridCol w:w="109"/>
        <w:gridCol w:w="196"/>
        <w:gridCol w:w="886"/>
        <w:gridCol w:w="109"/>
        <w:gridCol w:w="157"/>
      </w:tblGrid>
      <w:tr>
        <w:trPr/>
        <w:tc>
          <w:tcPr>
            <w:tcW w:w="8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 Equity </w:t>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1,173,153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426</w:t>
            </w:r>
            <w:r>
              <w:rPr>
                <w:color w:val="000000"/>
              </w:rPr>
              <w:t>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(208,796)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964,799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 and vesting of early exercised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contra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166,211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1,258,581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2,874</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1,135,714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39"/>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39"/>
            <w:vMerge w:val="continue"/>
            <w:tcBorders/>
            <w:shd w:fill="FFFFFF" w:val="clear"/>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39"/>
            <w:vMerge w:val="continue"/>
            <w:tcBorders/>
            <w:shd w:fill="FFFFFF" w:val="clear"/>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ASTERA LABS,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087" w:type="dxa"/>
        <w:jc w:val="left"/>
        <w:tblInd w:w="0" w:type="dxa"/>
        <w:tblLayout w:type="fixed"/>
        <w:tblCellMar>
          <w:top w:w="28" w:type="dxa"/>
          <w:left w:w="28" w:type="dxa"/>
          <w:bottom w:w="28" w:type="dxa"/>
          <w:right w:w="28" w:type="dxa"/>
        </w:tblCellMar>
      </w:tblPr>
      <w:tblGrid>
        <w:gridCol w:w="2407"/>
        <w:gridCol w:w="2119"/>
        <w:gridCol w:w="2134"/>
        <w:gridCol w:w="109"/>
        <w:gridCol w:w="109"/>
        <w:gridCol w:w="109"/>
        <w:gridCol w:w="211"/>
        <w:gridCol w:w="826"/>
        <w:gridCol w:w="109"/>
        <w:gridCol w:w="109"/>
        <w:gridCol w:w="109"/>
        <w:gridCol w:w="109"/>
        <w:gridCol w:w="211"/>
        <w:gridCol w:w="826"/>
        <w:gridCol w:w="109"/>
        <w:gridCol w:w="109"/>
        <w:gridCol w:w="109"/>
        <w:gridCol w:w="109"/>
        <w:gridCol w:w="154"/>
      </w:tblGrid>
      <w:tr>
        <w:trPr/>
        <w:tc>
          <w:tcPr>
            <w:tcW w:w="24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contra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business combinations,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(225,567)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(67,633)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Cash, cash equivalents, and restricted cash </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111,523 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Restricted cash was not material and is included in Prepaid expenses and other current assets.</w:t>
      </w:r>
    </w:p>
    <w:p>
      <w:pPr>
        <w:pStyle w:val="TextBody"/>
        <w:bidi w:val="0"/>
        <w:spacing w:before="36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NOTES TO UNAUDITED CONDENSED CONSOLIDATED FINANCIAL STATEMENTS </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1. Nature of Business and Summary of Significant Accounting Policies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Description of Business </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Astera Labs, Inc. (the “Company”) offers an Intelligent Connectivity Platform, comprised of semiconductor-based, high-speed, mixed-signal connectivity products that integrate a matrix of microcontrollers and sensors, and COSMOS, the Company’s software suite, which is embedded in its connectivity products and integrated into its customers’ systems.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patented software-defined platform approach delivers critical connectivity performance, enables flexibility and customization, and supports observability and predictive analytics. This approach aims to efficiently address the data, network, and memory bottlenecks, scalability, and other unique infrastructure requirements of its hyperscalers and system original equipment manufacturer (“OEM”) customers.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and notes have been prepared in accordance with accounting principles generally accepted in the United States of America (“GAAP”) and applicable rules and regulations of the SEC regarding interim financial information. Certain information and disclosures normally included in annual consolidated financial statements prepared in accordance with GAAP have been condensed or omitted. The unaudited condensed consolidated financial statements and related notes should be read in conjunction with the audited consolidated financial statements and related notes as of and for the year ended December 31, 2025, included in its Annual Report on Form 10-K for the year ended December 31, 2025 filed with the SEC on February 20, 2026. </w:t>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all adjustments, including normal recurring adjustments, that are considered necessary for a fair presentation of results of operations and financial position, have been included. Operating results for the periods presented herein are not necessarily indicative of the results of operations to be anticipated for the full fiscal year or any future period.</w:t>
      </w:r>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Principles of Consolidation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Astera Labs, Inc. and its wholly owned subsidiaries. All intercompany balances and transactions have been eliminated in consolidation.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Significant Accounting Policies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the Company’s significant accounting policies during the three and six months ended June 30, 2026 compared with the significant accounting policies described in its Annual Report on Form 10-K for the year ended December 31, 2025 filed with the SEC on February 20, 2026.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The Company’s significant estimates include, but are not limited to, revenue recognition, the valuation of acquired intangible assets, the valuation and realizability of deferred tax assets, reserves for uncertain tax positions, useful life of production equipment, the valuation of warrants, and the valuation and assumptions underlying stock-based compensation. By their nature, estimates are subject to an inherent degree of uncertainty and actual results could differ from those estimates.</w:t>
      </w:r>
    </w:p>
    <w:p>
      <w:pPr>
        <w:pStyle w:val="TextBody"/>
        <w:bidi w:val="0"/>
        <w:spacing w:before="0" w:after="0"/>
        <w:jc w:val="both"/>
        <w:rPr/>
      </w:pPr>
      <w:r>
        <w:rPr/>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Company assessed certain accounting matters and estimates that generally require consideration of forecasted information available to the Company. Management is not aware of any specific event or circumstance that would require an update to estimates or judgments or a revision to the carrying value of assets or liabilities. These estimates and judgments may change as new events occur and additional information is obtained, which may result in changes being recognized in the Company’s consolidated financial statements in future periods, and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Reclassifications</w:t>
      </w:r>
    </w:p>
    <w:p>
      <w:pPr>
        <w:pStyle w:val="TextBody"/>
        <w:bidi w:val="0"/>
        <w:spacing w:lineRule="auto" w:line="288" w:before="0" w:after="240"/>
        <w:ind w:left="0" w:right="0" w:firstLine="576"/>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prior period balances were reclassified to conform to the current period’s presentation. None of these reclassifications had an impact on reported net income, balance sheets, or cash flows for any of the periods presented.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before="0" w:after="0"/>
        <w:jc w:val="left"/>
        <w:rPr/>
      </w:pPr>
      <w:r>
        <w:rPr/>
      </w:r>
    </w:p>
    <w:p>
      <w:pPr>
        <w:pStyle w:val="TextBody"/>
        <w:bidi w:val="0"/>
        <w:spacing w:lineRule="auto" w:line="288" w:before="0" w:after="240"/>
        <w:ind w:left="0" w:right="0" w:firstLine="576"/>
        <w:jc w:val="both"/>
        <w:rPr/>
      </w:pPr>
      <w:r>
        <w:rPr>
          <w:rFonts w:ascii="Times New Roman;serif" w:hAnsi="Times New Roman;serif"/>
          <w:b w:val="false"/>
          <w:color w:val="000000"/>
          <w:sz w:val="20"/>
        </w:rPr>
        <w:t>In November 2024, the FASB issued Accounting Standards Update No. 2024-03,</w:t>
      </w:r>
      <w:r>
        <w:rPr>
          <w:color w:val="000000"/>
        </w:rPr>
        <w:t xml:space="preserve"> </w:t>
      </w:r>
      <w:r>
        <w:rPr>
          <w:rFonts w:ascii="Times New Roman;serif" w:hAnsi="Times New Roman;serif"/>
          <w:b w:val="false"/>
          <w:i/>
          <w:color w:val="000000"/>
          <w:sz w:val="20"/>
        </w:rPr>
        <w:t>Income Statement-Reporting Comprehensive Income-Expense Disaggregation Disclosure</w:t>
      </w:r>
      <w:r>
        <w:rPr>
          <w:color w:val="000000"/>
        </w:rPr>
        <w:t xml:space="preserve"> </w:t>
      </w:r>
      <w:r>
        <w:rPr>
          <w:rFonts w:ascii="Times New Roman;serif" w:hAnsi="Times New Roman;serif"/>
          <w:b w:val="false"/>
          <w:color w:val="000000"/>
          <w:sz w:val="20"/>
        </w:rPr>
        <w:t xml:space="preserve">(“ASU 2024-03”), and in January 2025, the FASB issued Accounting Standards Update No. 2025-01, </w:t>
      </w:r>
      <w:r>
        <w:rPr>
          <w:rFonts w:ascii="Times New Roman;serif" w:hAnsi="Times New Roman;serif"/>
          <w:b w:val="false"/>
          <w:i/>
          <w:color w:val="000000"/>
          <w:sz w:val="20"/>
        </w:rPr>
        <w:t>Income Statement-Reporting Comprehensive Income-Expense Disaggregation Disclosure (Subtopic 220-40): Clarifying the Effective Date</w:t>
      </w:r>
      <w:r>
        <w:rPr>
          <w:color w:val="000000"/>
        </w:rPr>
        <w:t xml:space="preserve"> </w:t>
      </w:r>
      <w:r>
        <w:rPr>
          <w:rFonts w:ascii="Times New Roman;serif" w:hAnsi="Times New Roman;serif"/>
          <w:b w:val="false"/>
          <w:color w:val="000000"/>
          <w:sz w:val="20"/>
        </w:rPr>
        <w:t>(“ASU 2025-01”). ASU 2024-03 requires additional disclosures of the nature of expenses included in the income statement and disclosures about specific expense categories included in the expense captions presented in the statements of operations. ASU 2024-03, as clarified by ASU 2025-01, is effective for annual reporting periods beginning after December 15, 2026, and interim reporting periods within annual reporting periods beginning after December 15, 2027. Both early adoption and retrospective application are permitted. The Company is currently evaluating the impact that the adoption of these new standards will have on its consolidated financial statements and related disclosures.</w:t>
      </w:r>
    </w:p>
    <w:p>
      <w:pPr>
        <w:pStyle w:val="TextBody"/>
        <w:bidi w:val="0"/>
        <w:spacing w:lineRule="auto" w:line="288" w:before="0" w:after="0"/>
        <w:ind w:left="0" w:right="0" w:firstLine="576"/>
        <w:jc w:val="both"/>
        <w:rPr/>
      </w:pPr>
      <w:r>
        <w:rPr>
          <w:rFonts w:ascii="Times New Roman;serif" w:hAnsi="Times New Roman;serif"/>
          <w:b w:val="false"/>
          <w:color w:val="000000"/>
          <w:sz w:val="20"/>
        </w:rPr>
        <w:t xml:space="preserve">In May 2025, the FASB issued Accounting Standards Update No. 2025-04, </w:t>
      </w:r>
      <w:r>
        <w:rPr>
          <w:rFonts w:ascii="Times New Roman;serif" w:hAnsi="Times New Roman;serif"/>
          <w:b w:val="false"/>
          <w:i/>
          <w:color w:val="000000"/>
          <w:sz w:val="20"/>
        </w:rPr>
        <w:t>Compensation-Stock Compensation (Topic 718) and Revenue from Contracts with Customers (Topic 606):</w:t>
      </w:r>
      <w:r>
        <w:rPr>
          <w:color w:val="000000"/>
        </w:rPr>
        <w:t xml:space="preserve"> </w:t>
      </w:r>
      <w:r>
        <w:rPr>
          <w:rFonts w:ascii="Times New Roman;serif" w:hAnsi="Times New Roman;serif"/>
          <w:b w:val="false"/>
          <w:i/>
          <w:color w:val="000000"/>
          <w:sz w:val="20"/>
        </w:rPr>
        <w:t>Clarifications to Share-Based Consideration Payable to a Customer</w:t>
      </w:r>
      <w:r>
        <w:rPr>
          <w:color w:val="000000"/>
        </w:rPr>
        <w:t xml:space="preserve"> </w:t>
      </w:r>
      <w:r>
        <w:rPr>
          <w:rFonts w:ascii="Times New Roman;serif" w:hAnsi="Times New Roman;serif"/>
          <w:b w:val="false"/>
          <w:color w:val="000000"/>
          <w:sz w:val="20"/>
        </w:rPr>
        <w:t>(“ASU 2025-04”). ASU 2025-04 reduces diversity in practice and improves the decision usefulness and operability of the guidance for share-based consideration payable to a customer in conjunction with selling goods or services. The ASU is effective for annual reporting periods beginning after December 15, 2026 with updates to be applied on a retrospective or modified retrospective basis. Early adoption is permitted. The Company does not expect a material impact from the adoption of this ASU on its consolidated financial statements and related disclosures.</w:t>
      </w:r>
    </w:p>
    <w:p>
      <w:pPr>
        <w:pStyle w:val="TextBody"/>
        <w:bidi w:val="0"/>
        <w:spacing w:before="0" w:after="0"/>
        <w:jc w:val="both"/>
        <w:rPr/>
      </w:pPr>
      <w:r>
        <w:rPr/>
      </w:r>
    </w:p>
    <w:p>
      <w:pPr>
        <w:pStyle w:val="TextBody"/>
        <w:bidi w:val="0"/>
        <w:spacing w:lineRule="auto" w:line="288" w:before="0" w:after="0"/>
        <w:ind w:left="0" w:right="0" w:firstLine="576"/>
        <w:jc w:val="both"/>
        <w:rPr/>
      </w:pPr>
      <w:r>
        <w:rPr>
          <w:rFonts w:ascii="Times New Roman;serif" w:hAnsi="Times New Roman;serif"/>
          <w:b w:val="false"/>
          <w:color w:val="000000"/>
          <w:sz w:val="20"/>
        </w:rPr>
        <w:t xml:space="preserve">In September 2025, the FASB issued Accounting Standards Update No. 2025-06, </w:t>
      </w:r>
      <w:r>
        <w:rPr>
          <w:rFonts w:ascii="Times New Roman;serif" w:hAnsi="Times New Roman;serif"/>
          <w:b w:val="false"/>
          <w:i/>
          <w:color w:val="000000"/>
          <w:sz w:val="20"/>
        </w:rPr>
        <w:t xml:space="preserve">Intangibles - Goodwill and Other -Internal-Use Software (Subtopic 350-40): Targeted Improvements to the Accounting for Internal-Use Software </w:t>
      </w:r>
      <w:r>
        <w:rPr>
          <w:rFonts w:ascii="Times New Roman;serif" w:hAnsi="Times New Roman;serif"/>
          <w:b w:val="false"/>
          <w:color w:val="000000"/>
          <w:sz w:val="20"/>
        </w:rPr>
        <w:t>(“ASU 2025-06”). ASU 2025-06 removes all references to project stages throughout Subtopic 350-40 and clarifies the threshold that the entities must meet to begin capitalizing costs. The ASU is effective for annual reporting periods beginning after December 15, 2027, and interim reporting periods within those annual reporting periods. Early adoption is permitted. The Company is evaluating the impact that this new standard will have on the Company’s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Segment and Geographical Information</w:t>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Chief Executive Officer (“CEO”), who reviews financial information presented on a consolidated basis for purposes of making operating decisions, assessing financial performance, and allocating resources. The CODM uses net income to evaluate the return on assets and to determine investment opportunities related to product development, platform enhancements, and new technologies. The CODM also uses net income to monitor budget versus actual results. The Company manages its operations and allocates resources as a single operating segment.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the significant expense categories and amounts that are regularly provided to the CODM (in thousands):</w:t>
      </w:r>
    </w:p>
    <w:tbl>
      <w:tblPr>
        <w:tblW w:w="8457" w:type="dxa"/>
        <w:jc w:val="left"/>
        <w:tblInd w:w="0" w:type="dxa"/>
        <w:tblLayout w:type="fixed"/>
        <w:tblCellMar>
          <w:top w:w="28" w:type="dxa"/>
          <w:left w:w="28" w:type="dxa"/>
          <w:bottom w:w="28" w:type="dxa"/>
          <w:right w:w="28" w:type="dxa"/>
        </w:tblCellMar>
      </w:tblPr>
      <w:tblGrid>
        <w:gridCol w:w="911"/>
        <w:gridCol w:w="803"/>
        <w:gridCol w:w="80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86,393</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77,605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Personnel-related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86,282</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18,049</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Stock-based compensation and personnel-related expenses presented in the above table are related to operating expenses and exclude amounts included in the cost of revenue.</w:t>
      </w:r>
    </w:p>
    <w:p>
      <w:pPr>
        <w:pStyle w:val="TextBody"/>
        <w:bidi w:val="0"/>
        <w:spacing w:lineRule="auto" w:line="288" w:before="120" w:after="283"/>
        <w:jc w:val="both"/>
        <w:rPr/>
      </w:pPr>
      <w:r>
        <w:rPr>
          <w:rFonts w:ascii="Times New Roman;serif" w:hAnsi="Times New Roman;serif"/>
          <w:b w:val="false"/>
          <w:color w:val="000000"/>
          <w:sz w:val="20"/>
        </w:rPr>
        <w:t xml:space="preserve">(2) Other segment items included are primarily related to income tax benefit, interest income, engineering related costs such as </w:t>
      </w:r>
      <w:r>
        <w:rPr>
          <w:rFonts w:ascii="Times New Roman;serif" w:hAnsi="Times New Roman;serif"/>
          <w:b w:val="false"/>
          <w:color w:val="231F20"/>
          <w:sz w:val="20"/>
        </w:rPr>
        <w:t>hardware design, software license, and cloud hosting services costs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professional and consulting services fees.</w:t>
      </w:r>
    </w:p>
    <w:p>
      <w:pPr>
        <w:pStyle w:val="TextBody"/>
        <w:bidi w:val="0"/>
        <w:spacing w:before="0" w:after="0"/>
        <w:jc w:val="both"/>
        <w:rPr/>
      </w:pPr>
      <w:r>
        <w:rPr/>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location is determined by the billing address of the Company’s customers, which includes the Company’s end customers’ manufacturing partners and the Company’s distributors. </w:t>
      </w:r>
    </w:p>
    <w:p>
      <w:pPr>
        <w:pStyle w:val="TextBody"/>
        <w:bidi w:val="0"/>
        <w:spacing w:before="0" w:after="0"/>
        <w:jc w:val="both"/>
        <w:rPr/>
      </w:pPr>
      <w:r>
        <w:rPr/>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revenue by geographic area (in thousands):</w:t>
      </w:r>
    </w:p>
    <w:tbl>
      <w:tblPr>
        <w:tblW w:w="6810" w:type="dxa"/>
        <w:jc w:val="left"/>
        <w:tblInd w:w="0" w:type="dxa"/>
        <w:tblLayout w:type="fixed"/>
        <w:tblCellMar>
          <w:top w:w="28" w:type="dxa"/>
          <w:left w:w="28" w:type="dxa"/>
          <w:bottom w:w="28" w:type="dxa"/>
          <w:right w:w="28" w:type="dxa"/>
        </w:tblCellMar>
      </w:tblPr>
      <w:tblGrid>
        <w:gridCol w:w="434"/>
        <w:gridCol w:w="382"/>
        <w:gridCol w:w="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700,761 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351,367 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customers that individually comprised 10% or more of its revenue:</w:t>
      </w:r>
    </w:p>
    <w:tbl>
      <w:tblPr>
        <w:tblW w:w="4946" w:type="dxa"/>
        <w:jc w:val="left"/>
        <w:tblInd w:w="0" w:type="dxa"/>
        <w:tblLayout w:type="fixed"/>
        <w:tblCellMar>
          <w:top w:w="28" w:type="dxa"/>
          <w:left w:w="28" w:type="dxa"/>
          <w:bottom w:w="28" w:type="dxa"/>
          <w:right w:w="28" w:type="dxa"/>
        </w:tblCellMar>
      </w:tblPr>
      <w:tblGrid>
        <w:gridCol w:w="407"/>
        <w:gridCol w:w="358"/>
        <w:gridCol w:w="359"/>
        <w:gridCol w:w="180"/>
        <w:gridCol w:w="181"/>
        <w:gridCol w:w="333"/>
        <w:gridCol w:w="134"/>
        <w:gridCol w:w="134"/>
        <w:gridCol w:w="134"/>
        <w:gridCol w:w="180"/>
        <w:gridCol w:w="181"/>
        <w:gridCol w:w="333"/>
        <w:gridCol w:w="109"/>
        <w:gridCol w:w="109"/>
        <w:gridCol w:w="109"/>
        <w:gridCol w:w="180"/>
        <w:gridCol w:w="181"/>
        <w:gridCol w:w="292"/>
        <w:gridCol w:w="117"/>
        <w:gridCol w:w="117"/>
        <w:gridCol w:w="117"/>
        <w:gridCol w:w="180"/>
        <w:gridCol w:w="181"/>
        <w:gridCol w:w="34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Six Months Ended</w:t>
              <w:br/>
              <w:t>June 30,</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A </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F</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*Less than 10% of total revenue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Certain of the customers listed above are manufacturing partners that purchase the Company's products on behalf of the Company’s end customers. As end customers may shift production volumes among their manufacturing partners from period to period, the revenue concentration percentages attributable to individual direct customers may fluctuate in a manner that is not necessarily representative of changes in underlying end-customer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customers that individually comprised 10% or more of its accounts receivable, net:</w:t>
      </w:r>
    </w:p>
    <w:tbl>
      <w:tblPr>
        <w:tblW w:w="4076" w:type="dxa"/>
        <w:jc w:val="left"/>
        <w:tblInd w:w="0" w:type="dxa"/>
        <w:tblLayout w:type="fixed"/>
        <w:tblCellMar>
          <w:top w:w="28" w:type="dxa"/>
          <w:left w:w="28" w:type="dxa"/>
          <w:bottom w:w="28" w:type="dxa"/>
          <w:right w:w="28" w:type="dxa"/>
        </w:tblCellMar>
      </w:tblPr>
      <w:tblGrid>
        <w:gridCol w:w="391"/>
        <w:gridCol w:w="344"/>
        <w:gridCol w:w="345"/>
        <w:gridCol w:w="250"/>
        <w:gridCol w:w="250"/>
        <w:gridCol w:w="624"/>
        <w:gridCol w:w="109"/>
        <w:gridCol w:w="109"/>
        <w:gridCol w:w="109"/>
        <w:gridCol w:w="314"/>
        <w:gridCol w:w="314"/>
        <w:gridCol w:w="91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*Less than 10% of total accounts receivable, net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recognize any material allowance for credit losses as of June 30, 2026 and December 31, 2025. </w:t>
      </w:r>
    </w:p>
    <w:p>
      <w:pPr>
        <w:pStyle w:val="TextBody"/>
        <w:bidi w:val="0"/>
        <w:spacing w:lineRule="auto" w:line="288" w:before="0" w:after="0"/>
        <w:ind w:left="0" w:right="0" w:firstLine="576"/>
        <w:jc w:val="both"/>
        <w:rPr/>
      </w:pPr>
      <w:r>
        <w:rPr>
          <w:rFonts w:ascii="Times New Roman;serif" w:hAnsi="Times New Roman;serif"/>
          <w:b w:val="false"/>
          <w:color w:val="000000"/>
          <w:sz w:val="20"/>
        </w:rPr>
        <w:t>Property and equipment, net by geographic location is based on the location of the asset. As of June 30, 2026</w:t>
      </w:r>
      <w:r>
        <w:rPr>
          <w:rFonts w:ascii="Times New Roman;serif" w:hAnsi="Times New Roman;serif"/>
          <w:b w:val="false"/>
          <w:color w:val="000000"/>
          <w:sz w:val="20"/>
          <w:shd w:fill="FFFFFF" w:val="clear"/>
        </w:rPr>
        <w:t>, 26% and 67%</w:t>
      </w:r>
      <w:r>
        <w:rPr>
          <w:color w:val="000000"/>
        </w:rPr>
        <w:t xml:space="preserve"> </w:t>
      </w:r>
      <w:r>
        <w:rPr>
          <w:rFonts w:ascii="Times New Roman;serif" w:hAnsi="Times New Roman;serif"/>
          <w:b w:val="false"/>
          <w:color w:val="000000"/>
          <w:sz w:val="20"/>
        </w:rPr>
        <w:t>of the Company’s property and equipment, net was located in the United States and Taiwan, respectively. As of December 31, 2025, 20% and 73% of the Company’s property and equipment, net was located in the United States and Taiwan,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3. Marketable Securities</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and losses, and fair value of available-for-sale securities by major security type are as follows (in thousands):</w:t>
      </w:r>
    </w:p>
    <w:tbl>
      <w:tblPr>
        <w:tblW w:w="8439" w:type="dxa"/>
        <w:jc w:val="left"/>
        <w:tblInd w:w="0" w:type="dxa"/>
        <w:tblLayout w:type="fixed"/>
        <w:tblCellMar>
          <w:top w:w="28" w:type="dxa"/>
          <w:left w:w="28" w:type="dxa"/>
          <w:bottom w:w="28" w:type="dxa"/>
          <w:right w:w="28" w:type="dxa"/>
        </w:tblCellMar>
      </w:tblPr>
      <w:tblGrid>
        <w:gridCol w:w="1059"/>
        <w:gridCol w:w="931"/>
        <w:gridCol w:w="934"/>
        <w:gridCol w:w="211"/>
        <w:gridCol w:w="976"/>
        <w:gridCol w:w="109"/>
        <w:gridCol w:w="109"/>
        <w:gridCol w:w="109"/>
        <w:gridCol w:w="109"/>
        <w:gridCol w:w="237"/>
        <w:gridCol w:w="525"/>
        <w:gridCol w:w="124"/>
        <w:gridCol w:w="109"/>
        <w:gridCol w:w="109"/>
        <w:gridCol w:w="109"/>
        <w:gridCol w:w="211"/>
        <w:gridCol w:w="691"/>
        <w:gridCol w:w="109"/>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shd w:fill="FFFFFF" w:val="clear"/>
              </w:rPr>
            </w:pPr>
            <w:r>
              <w:rPr>
                <w:rFonts w:ascii="Times New Roman;serif" w:hAnsi="Times New Roman;serif"/>
                <w:b/>
                <w:color w:val="010101"/>
                <w:sz w:val="16"/>
                <w:shd w:fill="FFFFFF" w:val="clear"/>
              </w:rPr>
              <w:t>As of June 30, 2026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Gross</w:t>
              <w:br/>
              <w:t>Unrealized</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Gross</w:t>
              <w:br/>
              <w:t>Unrealized</w:t>
              <w:br/>
              <w:t>Losses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Fair</w:t>
              <w:br/>
              <w:t>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Cash equivalents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84,575 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84,575 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84,575 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Marketable securities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U.S. treasury and 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73" w:type="dxa"/>
        <w:jc w:val="left"/>
        <w:tblInd w:w="0" w:type="dxa"/>
        <w:tblLayout w:type="fixed"/>
        <w:tblCellMar>
          <w:top w:w="28" w:type="dxa"/>
          <w:left w:w="28" w:type="dxa"/>
          <w:bottom w:w="28" w:type="dxa"/>
          <w:right w:w="28" w:type="dxa"/>
        </w:tblCellMar>
      </w:tblPr>
      <w:tblGrid>
        <w:gridCol w:w="1059"/>
        <w:gridCol w:w="931"/>
        <w:gridCol w:w="934"/>
        <w:gridCol w:w="211"/>
        <w:gridCol w:w="976"/>
        <w:gridCol w:w="109"/>
        <w:gridCol w:w="109"/>
        <w:gridCol w:w="109"/>
        <w:gridCol w:w="109"/>
        <w:gridCol w:w="211"/>
        <w:gridCol w:w="616"/>
        <w:gridCol w:w="109"/>
        <w:gridCol w:w="109"/>
        <w:gridCol w:w="109"/>
        <w:gridCol w:w="109"/>
        <w:gridCol w:w="233"/>
        <w:gridCol w:w="541"/>
        <w:gridCol w:w="121"/>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As of December 31,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Gross</w:t>
              <w:br/>
              <w:t>Unrealized</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Gross</w:t>
              <w:br/>
              <w:t>Unrealized</w:t>
              <w:br/>
              <w:t>Losses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Fair</w:t>
              <w:br/>
              <w:t>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Cash equivalents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cash equivalents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148,268 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61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10101"/>
              </w:rPr>
            </w:pPr>
            <w:r>
              <w:rPr>
                <w:color w:val="010101"/>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5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w:t>
            </w:r>
          </w:p>
        </w:tc>
        <w:tc>
          <w:tcPr>
            <w:tcW w:w="12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148,267 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Marketable securities</w:t>
            </w:r>
          </w:p>
        </w:tc>
        <w:tc>
          <w:tcPr>
            <w:tcW w:w="129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U.S. treasury and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203,175 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203,794 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802,261 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805,949 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1,016,895 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1,021,205 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Company’s marketable securities that were in a continuous loss position for 12 months or more, as well as the unrealized losses on those marketable securities, were not material. Unrealized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losses have not been recognized into income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contractual maturities of cash equivalents and marketable securities classified as available-for-sale are as follows (in thousands):</w:t>
      </w:r>
    </w:p>
    <w:tbl>
      <w:tblPr>
        <w:tblW w:w="9314" w:type="dxa"/>
        <w:jc w:val="left"/>
        <w:tblInd w:w="0" w:type="dxa"/>
        <w:tblLayout w:type="fixed"/>
        <w:tblCellMar>
          <w:top w:w="28" w:type="dxa"/>
          <w:left w:w="28" w:type="dxa"/>
          <w:bottom w:w="28" w:type="dxa"/>
          <w:right w:w="28" w:type="dxa"/>
        </w:tblCellMar>
      </w:tblPr>
      <w:tblGrid>
        <w:gridCol w:w="1125"/>
        <w:gridCol w:w="985"/>
        <w:gridCol w:w="99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Due within one year</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458,030 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463,417 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464,282 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Due after one year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1,229,449 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1,226,080 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1,165,163 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1,169,472 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Actual maturities may differ from contractual maturities because borrowers may have the right to call or prepay obligations with or without call or prepayment penalties.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material allowance for credit losses as of June 30, 2026 and December 31, 2025 or impairment charges for the three and six months ended June 30, 2026 and 2025.</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material realized gains or losses from available-for-sale securities that were reclassified out of accumulated other comprehensive income for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4. Fair Value Measurements </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Company’s financial assets measured at fair value on a recurring basis based on the fair value hierarchy as follows (in thousands): </w:t>
      </w:r>
    </w:p>
    <w:tbl>
      <w:tblPr>
        <w:tblW w:w="7474" w:type="dxa"/>
        <w:jc w:val="left"/>
        <w:tblInd w:w="0" w:type="dxa"/>
        <w:tblLayout w:type="fixed"/>
        <w:tblCellMar>
          <w:top w:w="28" w:type="dxa"/>
          <w:left w:w="28" w:type="dxa"/>
          <w:bottom w:w="28" w:type="dxa"/>
          <w:right w:w="28" w:type="dxa"/>
        </w:tblCellMar>
      </w:tblPr>
      <w:tblGrid>
        <w:gridCol w:w="1059"/>
        <w:gridCol w:w="931"/>
        <w:gridCol w:w="934"/>
        <w:gridCol w:w="211"/>
        <w:gridCol w:w="721"/>
        <w:gridCol w:w="109"/>
        <w:gridCol w:w="109"/>
        <w:gridCol w:w="109"/>
        <w:gridCol w:w="109"/>
        <w:gridCol w:w="211"/>
        <w:gridCol w:w="976"/>
        <w:gridCol w:w="109"/>
        <w:gridCol w:w="109"/>
        <w:gridCol w:w="109"/>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shd w:fill="FFFFFF" w:val="clear"/>
              </w:rPr>
            </w:pPr>
            <w:r>
              <w:rPr>
                <w:rFonts w:ascii="Times New Roman;serif" w:hAnsi="Times New Roman;serif"/>
                <w:b/>
                <w:color w:val="010101"/>
                <w:sz w:val="16"/>
                <w:shd w:fill="FFFFFF" w:val="clear"/>
              </w:rPr>
              <w:t>As of June 30, 2026</w:t>
            </w:r>
          </w:p>
        </w:tc>
        <w:tc>
          <w:tcPr>
            <w:tcW w:w="1668"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Total Fair</w:t>
              <w:br/>
              <w:t>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Cash equivalents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10101"/>
              </w:rPr>
            </w:pPr>
            <w:r>
              <w:rPr>
                <w:color w:val="01010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84,575 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84,575 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84,575 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Marketable securities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U.S. treasury and 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10101"/>
              </w:rPr>
            </w:pPr>
            <w:r>
              <w:rPr>
                <w:color w:val="010101"/>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79" w:type="dxa"/>
        <w:jc w:val="left"/>
        <w:tblInd w:w="0" w:type="dxa"/>
        <w:tblLayout w:type="fixed"/>
        <w:tblCellMar>
          <w:top w:w="28" w:type="dxa"/>
          <w:left w:w="28" w:type="dxa"/>
          <w:bottom w:w="28" w:type="dxa"/>
          <w:right w:w="28" w:type="dxa"/>
        </w:tblCellMar>
      </w:tblPr>
      <w:tblGrid>
        <w:gridCol w:w="1059"/>
        <w:gridCol w:w="931"/>
        <w:gridCol w:w="934"/>
        <w:gridCol w:w="211"/>
        <w:gridCol w:w="826"/>
        <w:gridCol w:w="109"/>
        <w:gridCol w:w="109"/>
        <w:gridCol w:w="109"/>
        <w:gridCol w:w="109"/>
        <w:gridCol w:w="211"/>
        <w:gridCol w:w="976"/>
        <w:gridCol w:w="109"/>
        <w:gridCol w:w="109"/>
        <w:gridCol w:w="109"/>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As of December 31, 2025</w:t>
            </w:r>
          </w:p>
        </w:tc>
        <w:tc>
          <w:tcPr>
            <w:tcW w:w="1668"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Total Fair</w:t>
              <w:br/>
              <w:t>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Cash equivalents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10101"/>
              </w:rPr>
            </w:pPr>
            <w:r>
              <w:rPr>
                <w:color w:val="01010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10101"/>
              </w:rPr>
            </w:pPr>
            <w:r>
              <w:rPr>
                <w:color w:val="010101"/>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cash equivalents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5,495 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148,267 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Marketable securities</w:t>
            </w:r>
          </w:p>
        </w:tc>
        <w:tc>
          <w:tcPr>
            <w:tcW w:w="114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U.S. treasury and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10101"/>
              </w:rPr>
            </w:pPr>
            <w:r>
              <w:rPr>
                <w:color w:val="01010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203,794 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203,794 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805,949 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805,949 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1,021,205 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1,021,205 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no marketable securities with Level 3 fair value hierarchy measurement.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Nonrecurring Basis</w:t>
      </w:r>
    </w:p>
    <w:p>
      <w:pPr>
        <w:pStyle w:val="TextBody"/>
        <w:bidi w:val="0"/>
        <w:spacing w:lineRule="auto" w:line="288" w:before="0" w:after="0"/>
        <w:ind w:left="0" w:right="0" w:firstLine="576"/>
        <w:jc w:val="both"/>
        <w:rPr/>
      </w:pPr>
      <w:r>
        <w:rPr>
          <w:rFonts w:ascii="Times New Roman;serif" w:hAnsi="Times New Roman;serif"/>
          <w:b w:val="false"/>
          <w:color w:val="000000"/>
          <w:sz w:val="20"/>
        </w:rPr>
        <w:t xml:space="preserve">Goodwill, intangible assets, property, plant and equipment, and certain equity investments without readily determinable fair values are not required to be measured at fair value on a recurring basis. However, if the Company is required to evaluate these assets for impairment, whether due to certain triggering events or because of the required annual impairment test, and a resulting impairment is recorded to reduce the carrying value to the fair value, these assets are measured at fair value during such period. There was no impairment on these assets during the three and six months ended June 30, 2026 and 2025. </w:t>
      </w:r>
      <w:r>
        <w:rPr>
          <w:rFonts w:ascii="Times New Roman;serif" w:hAnsi="Times New Roman;serif"/>
          <w:b w:val="false"/>
          <w:color w:val="000000"/>
          <w:sz w:val="20"/>
          <w:shd w:fill="FFFFFF" w:val="clear"/>
        </w:rPr>
        <w:t>In addition, when the Company identifies observable price changes in orderly transactions for the equity investments without read</w:t>
      </w:r>
      <w:r>
        <w:rPr>
          <w:rFonts w:ascii="Times New Roman;serif" w:hAnsi="Times New Roman;serif"/>
          <w:b w:val="false"/>
          <w:color w:val="000000"/>
          <w:sz w:val="20"/>
        </w:rPr>
        <w:t>ily determinable fair values, it shall measure the equity security at fair value as of the date that the observable transaction occurred. During the three months ended June 30, 2026, the Company recorded an increase in fair value of $1.5 million related to its equity investments and recorded in interest and other income within the condensed consolidated statement of operations and comprehensive income.</w:t>
      </w:r>
    </w:p>
    <w:p>
      <w:pPr>
        <w:pStyle w:val="TextBody"/>
        <w:bidi w:val="0"/>
        <w:spacing w:before="0" w:after="0"/>
        <w:ind w:left="0" w:right="0" w:firstLine="576"/>
        <w:jc w:val="both"/>
        <w:rPr/>
      </w:pPr>
      <w:r>
        <w:rPr/>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no liabilities required to be measured at fair value on a nonrecurring basis.</w:t>
      </w:r>
    </w:p>
    <w:p>
      <w:pPr>
        <w:pStyle w:val="TextBody"/>
        <w:bidi w:val="0"/>
        <w:spacing w:before="0" w:after="0"/>
        <w:ind w:left="0" w:right="0" w:firstLine="576"/>
        <w:jc w:val="both"/>
        <w:rPr/>
      </w:pPr>
      <w:r>
        <w:rPr/>
      </w:r>
    </w:p>
    <w:p>
      <w:pPr>
        <w:pStyle w:val="TextBody"/>
        <w:bidi w:val="0"/>
        <w:spacing w:lineRule="auto" w:line="288" w:before="0" w:after="0"/>
        <w:jc w:val="both"/>
        <w:rPr/>
      </w:pPr>
      <w:r>
        <w:rPr>
          <w:rFonts w:ascii="Times New Roman;serif" w:hAnsi="Times New Roman;serif"/>
          <w:b/>
          <w:color w:val="000000"/>
          <w:sz w:val="20"/>
        </w:rPr>
        <w:t>Assets and Liabilities N</w:t>
      </w:r>
      <w:r>
        <w:rPr>
          <w:rFonts w:ascii="Times New Roman;serif" w:hAnsi="Times New Roman;serif"/>
          <w:b/>
          <w:color w:val="231F20"/>
          <w:sz w:val="20"/>
        </w:rPr>
        <w:t>ot Measured at Fair Value</w:t>
      </w:r>
    </w:p>
    <w:p>
      <w:pPr>
        <w:pStyle w:val="TextBody"/>
        <w:bidi w:val="0"/>
        <w:spacing w:before="0" w:after="0"/>
        <w:ind w:left="0" w:right="0" w:firstLine="576"/>
        <w:jc w:val="both"/>
        <w:rPr/>
      </w:pPr>
      <w:r>
        <w:rPr/>
      </w:r>
    </w:p>
    <w:p>
      <w:pPr>
        <w:pStyle w:val="TextBody"/>
        <w:bidi w:val="0"/>
        <w:spacing w:lineRule="auto" w:line="288" w:before="0" w:after="0"/>
        <w:ind w:left="0" w:right="0" w:firstLine="576"/>
        <w:jc w:val="both"/>
        <w:rPr/>
      </w:pPr>
      <w:r>
        <w:rPr>
          <w:rFonts w:ascii="Times New Roman;serif" w:hAnsi="Times New Roman;serif"/>
          <w:b w:val="false"/>
          <w:color w:val="231F20"/>
          <w:sz w:val="20"/>
        </w:rPr>
        <w:t>The carryi</w:t>
      </w:r>
      <w:r>
        <w:rPr>
          <w:rFonts w:ascii="Times New Roman;serif" w:hAnsi="Times New Roman;serif"/>
          <w:b w:val="false"/>
          <w:color w:val="000000"/>
          <w:sz w:val="20"/>
        </w:rPr>
        <w:t xml:space="preserve">ng amount of the Company’s financial instruments, including cash equivalents, accounts receivable, and accounts payable, approximates their respective fair values because of their short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5. Condensed Consolidated Balance Sheet Components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Inventory </w:t>
      </w:r>
    </w:p>
    <w:p>
      <w:pPr>
        <w:pStyle w:val="TextBody"/>
        <w:bidi w:val="0"/>
        <w:spacing w:lineRule="auto" w:line="288" w:before="0" w:after="120"/>
        <w:ind w:left="0" w:right="0" w:firstLine="576"/>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(in thousands):</w:t>
      </w:r>
    </w:p>
    <w:tbl>
      <w:tblPr>
        <w:tblW w:w="4549" w:type="dxa"/>
        <w:jc w:val="left"/>
        <w:tblInd w:w="0" w:type="dxa"/>
        <w:tblLayout w:type="fixed"/>
        <w:tblCellMar>
          <w:top w:w="28" w:type="dxa"/>
          <w:left w:w="28" w:type="dxa"/>
          <w:bottom w:w="28" w:type="dxa"/>
          <w:right w:w="28" w:type="dxa"/>
        </w:tblCellMar>
      </w:tblPr>
      <w:tblGrid>
        <w:gridCol w:w="554"/>
        <w:gridCol w:w="486"/>
        <w:gridCol w:w="491"/>
        <w:gridCol w:w="211"/>
        <w:gridCol w:w="826"/>
        <w:gridCol w:w="109"/>
        <w:gridCol w:w="109"/>
        <w:gridCol w:w="109"/>
        <w:gridCol w:w="109"/>
        <w:gridCol w:w="300"/>
        <w:gridCol w:w="1026"/>
        <w:gridCol w:w="219"/>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Work-in-progress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926" w:type="dxa"/>
        <w:jc w:val="left"/>
        <w:tblInd w:w="0" w:type="dxa"/>
        <w:tblLayout w:type="fixed"/>
        <w:tblCellMar>
          <w:top w:w="28" w:type="dxa"/>
          <w:left w:w="28" w:type="dxa"/>
          <w:bottom w:w="28" w:type="dxa"/>
          <w:right w:w="28" w:type="dxa"/>
        </w:tblCellMar>
      </w:tblPr>
      <w:tblGrid>
        <w:gridCol w:w="1424"/>
        <w:gridCol w:w="1251"/>
        <w:gridCol w:w="1255"/>
        <w:gridCol w:w="228"/>
        <w:gridCol w:w="779"/>
        <w:gridCol w:w="117"/>
        <w:gridCol w:w="109"/>
        <w:gridCol w:w="109"/>
        <w:gridCol w:w="109"/>
        <w:gridCol w:w="300"/>
        <w:gridCol w:w="1026"/>
        <w:gridCol w:w="219"/>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Income tax receivable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 xml:space="preserve">Other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prepaid expenses and other current assets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92,687 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Property and Equipment, Net </w:t>
      </w:r>
    </w:p>
    <w:p>
      <w:pPr>
        <w:pStyle w:val="TextBody"/>
        <w:bidi w:val="0"/>
        <w:spacing w:lineRule="auto" w:line="288" w:before="0" w:after="0"/>
        <w:ind w:left="0" w:right="0" w:firstLine="576"/>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528" w:type="dxa"/>
        <w:jc w:val="left"/>
        <w:tblInd w:w="0" w:type="dxa"/>
        <w:tblLayout w:type="fixed"/>
        <w:tblCellMar>
          <w:top w:w="28" w:type="dxa"/>
          <w:left w:w="28" w:type="dxa"/>
          <w:bottom w:w="28" w:type="dxa"/>
          <w:right w:w="28" w:type="dxa"/>
        </w:tblCellMar>
      </w:tblPr>
      <w:tblGrid>
        <w:gridCol w:w="1273"/>
        <w:gridCol w:w="1115"/>
        <w:gridCol w:w="1122"/>
        <w:gridCol w:w="211"/>
        <w:gridCol w:w="826"/>
        <w:gridCol w:w="109"/>
        <w:gridCol w:w="109"/>
        <w:gridCol w:w="109"/>
        <w:gridCol w:w="109"/>
        <w:gridCol w:w="300"/>
        <w:gridCol w:w="1026"/>
        <w:gridCol w:w="219"/>
      </w:tblGrid>
      <w:tr>
        <w:trPr/>
        <w:tc>
          <w:tcPr>
            <w:tcW w:w="127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103,760 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119,284 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92,038 </w:t>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76"/>
        <w:jc w:val="both"/>
        <w:rPr/>
      </w:pPr>
      <w:r>
        <w:rPr>
          <w:rFonts w:ascii="Times New Roman;serif" w:hAnsi="Times New Roman;serif"/>
          <w:b w:val="false"/>
          <w:color w:val="000000"/>
          <w:sz w:val="20"/>
        </w:rPr>
        <w:t xml:space="preserve">Depreciation and amortization </w:t>
      </w:r>
      <w:r>
        <w:rPr>
          <w:rFonts w:ascii="Times New Roman;serif" w:hAnsi="Times New Roman;serif"/>
          <w:b w:val="false"/>
          <w:color w:val="231F20"/>
          <w:sz w:val="20"/>
        </w:rPr>
        <w:t xml:space="preserve">expense for the three months ended June 30, </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and 2025 w</w:t>
      </w:r>
      <w:r>
        <w:rPr>
          <w:rFonts w:ascii="Times New Roman;serif" w:hAnsi="Times New Roman;serif"/>
          <w:b w:val="false"/>
          <w:color w:val="231F20"/>
          <w:sz w:val="20"/>
          <w:shd w:fill="FFFFFF" w:val="clear"/>
        </w:rPr>
        <w:t xml:space="preserve">as </w:t>
      </w:r>
      <w:r>
        <w:rPr>
          <w:rFonts w:ascii="Times New Roman;serif" w:hAnsi="Times New Roman;serif"/>
          <w:b w:val="false"/>
          <w:color w:val="000000"/>
          <w:sz w:val="20"/>
          <w:shd w:fill="FFFFFF" w:val="clear"/>
        </w:rPr>
        <w:t>$3.9 million</w:t>
      </w:r>
      <w:r>
        <w:rPr>
          <w:color w:val="000000"/>
        </w:rPr>
        <w:t xml:space="preserve"> </w:t>
      </w:r>
      <w:r>
        <w:rPr>
          <w:rFonts w:ascii="Times New Roman;serif" w:hAnsi="Times New Roman;serif"/>
          <w:b w:val="false"/>
          <w:color w:val="000000"/>
          <w:sz w:val="20"/>
        </w:rPr>
        <w:t>and $1.4 million, respectively, a</w:t>
      </w:r>
      <w:r>
        <w:rPr>
          <w:rFonts w:ascii="Times New Roman;serif" w:hAnsi="Times New Roman;serif"/>
          <w:b w:val="false"/>
          <w:color w:val="000000"/>
          <w:sz w:val="20"/>
          <w:shd w:fill="FFFFFF" w:val="clear"/>
        </w:rPr>
        <w:t>nd $7.6 million</w:t>
      </w:r>
      <w:r>
        <w:rPr>
          <w:color w:val="000000"/>
        </w:rPr>
        <w:t xml:space="preserve"> </w:t>
      </w:r>
      <w:r>
        <w:rPr>
          <w:rFonts w:ascii="Times New Roman;serif" w:hAnsi="Times New Roman;serif"/>
          <w:b w:val="false"/>
          <w:color w:val="000000"/>
          <w:sz w:val="20"/>
        </w:rPr>
        <w:t xml:space="preserve">and $2.5 million for the </w:t>
      </w:r>
      <w:r>
        <w:rPr>
          <w:rFonts w:ascii="Times New Roman;serif" w:hAnsi="Times New Roman;serif"/>
          <w:b w:val="false"/>
          <w:color w:val="231F20"/>
          <w:sz w:val="20"/>
        </w:rPr>
        <w:t xml:space="preserve">six months ended June 30, </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and 2025, respectively</w:t>
      </w:r>
      <w:r>
        <w:rPr>
          <w:rFonts w:ascii="Times New Roman;serif" w:hAnsi="Times New Roman;serif"/>
          <w:b w:val="false"/>
          <w:color w:val="000000"/>
          <w:sz w:val="20"/>
        </w:rPr>
        <w:t xml:space="preserve">. </w:t>
      </w:r>
    </w:p>
    <w:p>
      <w:pPr>
        <w:pStyle w:val="TextBody"/>
        <w:bidi w:val="0"/>
        <w:spacing w:lineRule="auto" w:line="288" w:before="0" w:after="240"/>
        <w:ind w:left="0" w:right="0" w:firstLine="576"/>
        <w:jc w:val="both"/>
        <w:rPr>
          <w:rFonts w:ascii="Times New Roman;serif" w:hAnsi="Times New Roman;serif"/>
          <w:b w:val="false"/>
          <w:color w:val="231F20"/>
          <w:sz w:val="20"/>
        </w:rPr>
      </w:pPr>
      <w:r>
        <w:rPr>
          <w:rFonts w:ascii="Times New Roman;serif" w:hAnsi="Times New Roman;serif"/>
          <w:b w:val="false"/>
          <w:color w:val="231F20"/>
          <w:sz w:val="20"/>
        </w:rPr>
        <w:t xml:space="preserve">Construction in progress primarily consists of capitalized costs for production equipment related to the Company’s future products. These assets will be placed into service and begin to depreciate when related manufacturing commences. Production and manufacturing equipment included production equipment has been placed into service and are being used in the manufacture of the Company’s released products.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Accrued Expenses and Other Current Liabilities </w:t>
      </w:r>
    </w:p>
    <w:p>
      <w:pPr>
        <w:pStyle w:val="TextBody"/>
        <w:bidi w:val="0"/>
        <w:spacing w:lineRule="auto" w:line="288" w:before="0" w:after="120"/>
        <w:ind w:left="0" w:right="0" w:firstLine="576"/>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7278" w:type="dxa"/>
        <w:jc w:val="left"/>
        <w:tblInd w:w="0" w:type="dxa"/>
        <w:tblLayout w:type="fixed"/>
        <w:tblCellMar>
          <w:top w:w="28" w:type="dxa"/>
          <w:left w:w="28" w:type="dxa"/>
          <w:bottom w:w="28" w:type="dxa"/>
          <w:right w:w="28" w:type="dxa"/>
        </w:tblCellMar>
      </w:tblPr>
      <w:tblGrid>
        <w:gridCol w:w="1544"/>
        <w:gridCol w:w="1355"/>
        <w:gridCol w:w="1361"/>
        <w:gridCol w:w="211"/>
        <w:gridCol w:w="826"/>
        <w:gridCol w:w="109"/>
        <w:gridCol w:w="109"/>
        <w:gridCol w:w="109"/>
        <w:gridCol w:w="109"/>
        <w:gridCol w:w="300"/>
        <w:gridCol w:w="1026"/>
        <w:gridCol w:w="219"/>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Accrued software license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10101"/>
                <w:sz w:val="20"/>
              </w:rPr>
            </w:pPr>
            <w:r>
              <w:rPr>
                <w:rFonts w:ascii="Times New Roman;serif" w:hAnsi="Times New Roman;serif"/>
                <w:b w:val="false"/>
                <w:color w:val="010101"/>
                <w:sz w:val="20"/>
              </w:rPr>
              <w:t>Holdback in connection with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Accrued production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90,680 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Supplemental Cash Flow Information</w:t>
      </w:r>
    </w:p>
    <w:p>
      <w:pPr>
        <w:pStyle w:val="TextBody"/>
        <w:bidi w:val="0"/>
        <w:spacing w:lineRule="auto" w:line="288" w:before="0" w:after="0"/>
        <w:ind w:left="0" w:right="0" w:firstLine="576"/>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non-cash investing and financing activities (in thousands):</w:t>
      </w:r>
    </w:p>
    <w:tbl>
      <w:tblPr>
        <w:tblW w:w="10205" w:type="dxa"/>
        <w:jc w:val="left"/>
        <w:tblInd w:w="0" w:type="dxa"/>
        <w:tblLayout w:type="fixed"/>
        <w:tblCellMar>
          <w:top w:w="28" w:type="dxa"/>
          <w:left w:w="28" w:type="dxa"/>
          <w:bottom w:w="28" w:type="dxa"/>
          <w:right w:w="28" w:type="dxa"/>
        </w:tblCellMar>
      </w:tblPr>
      <w:tblGrid>
        <w:gridCol w:w="2806"/>
        <w:gridCol w:w="2465"/>
        <w:gridCol w:w="2479"/>
        <w:gridCol w:w="211"/>
        <w:gridCol w:w="721"/>
        <w:gridCol w:w="109"/>
        <w:gridCol w:w="109"/>
        <w:gridCol w:w="109"/>
        <w:gridCol w:w="109"/>
        <w:gridCol w:w="211"/>
        <w:gridCol w:w="721"/>
        <w:gridCol w:w="155"/>
      </w:tblGrid>
      <w:tr>
        <w:trPr/>
        <w:tc>
          <w:tcPr>
            <w:tcW w:w="2806"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(“ROU”) assets obtained in exchange for lease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6. Business Combinations</w:t>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On February 9, 2026, the Company acquired certain assets of a privately held company that develops data center acceleration solutions designed to make data storage and processing faster, more efficient, and more cost-effective. In connection with the acquisition, the Company added a highly skilled workforce and technology to enable development of its products and solutions. The total purchase consideration was $74.0 million, which consisted of $65.0 million in cash, $5.0 million in holdback for general indemnities, and $4.0 million in share-based consideration. The transaction has been accounted for as a business combination.</w:t>
      </w:r>
    </w:p>
    <w:p>
      <w:pPr>
        <w:pStyle w:val="TextBody"/>
        <w:bidi w:val="0"/>
        <w:spacing w:lineRule="auto" w:line="288" w:before="240" w:after="283"/>
        <w:ind w:left="0" w:right="0" w:firstLine="576"/>
        <w:jc w:val="both"/>
        <w:rPr/>
      </w:pPr>
      <w:r>
        <w:rPr>
          <w:rFonts w:ascii="Times New Roman;serif" w:hAnsi="Times New Roman;serif"/>
          <w:b w:val="false"/>
          <w:color w:val="231F20"/>
          <w:sz w:val="20"/>
        </w:rPr>
        <w:t xml:space="preserve">The </w:t>
      </w:r>
      <w:r>
        <w:rPr>
          <w:rFonts w:ascii="Times New Roman;serif" w:hAnsi="Times New Roman;serif"/>
          <w:b w:val="false"/>
          <w:color w:val="000000"/>
          <w:sz w:val="20"/>
        </w:rPr>
        <w:t xml:space="preserve">purchase price was allocated on a preliminary basis to goodwill of $68.4 million and an </w:t>
      </w:r>
      <w:r>
        <w:rPr>
          <w:rFonts w:ascii="Times New Roman;serif" w:hAnsi="Times New Roman;serif"/>
          <w:b w:val="false"/>
          <w:color w:val="231F20"/>
          <w:sz w:val="20"/>
        </w:rPr>
        <w:t xml:space="preserve">immaterial amount to intangible assets and net identifiable assets acquired. </w:t>
      </w:r>
      <w:r>
        <w:rPr>
          <w:rFonts w:ascii="Times New Roman;serif" w:hAnsi="Times New Roman;serif"/>
          <w:b w:val="false"/>
          <w:color w:val="000000"/>
          <w:sz w:val="20"/>
        </w:rPr>
        <w:t xml:space="preserve">Goodwill primarily relates to expected synergies and assembled workforce and is not deductible for U.S. federal income tax purposes. </w:t>
      </w:r>
    </w:p>
    <w:p>
      <w:pPr>
        <w:pStyle w:val="TextBody"/>
        <w:bidi w:val="0"/>
        <w:spacing w:before="0" w:after="0"/>
        <w:jc w:val="both"/>
        <w:rPr/>
      </w:pPr>
      <w:r>
        <w:rPr/>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Additional information related to the acquisition, such as that related to income tax and other contingencies, existing as of the acquisition date may become known during the remainder of the measurement period, not to exceed 12 months from the acquisition date, which may result in changes to the amounts and allocations recorded.</w:t>
      </w:r>
    </w:p>
    <w:p>
      <w:pPr>
        <w:pStyle w:val="TextBody"/>
        <w:bidi w:val="0"/>
        <w:spacing w:before="0" w:after="0"/>
        <w:jc w:val="both"/>
        <w:rPr/>
      </w:pPr>
      <w:r>
        <w:rPr/>
      </w:r>
    </w:p>
    <w:p>
      <w:pPr>
        <w:pStyle w:val="TextBody"/>
        <w:bidi w:val="0"/>
        <w:spacing w:lineRule="auto" w:line="288" w:before="0" w:after="0"/>
        <w:ind w:left="0" w:right="0" w:firstLine="576"/>
        <w:jc w:val="both"/>
        <w:rPr/>
      </w:pPr>
      <w:r>
        <w:rPr>
          <w:rFonts w:ascii="Times New Roman;serif" w:hAnsi="Times New Roman;serif"/>
          <w:b w:val="false"/>
          <w:color w:val="000000"/>
          <w:sz w:val="20"/>
        </w:rPr>
        <w:t xml:space="preserve">During the </w:t>
      </w:r>
      <w:r>
        <w:rPr>
          <w:rFonts w:ascii="Times New Roman;serif" w:hAnsi="Times New Roman;serif"/>
          <w:b w:val="false"/>
          <w:color w:val="231F20"/>
          <w:sz w:val="20"/>
        </w:rPr>
        <w:t xml:space="preserve">six months ended June 30, </w:t>
      </w:r>
      <w:r>
        <w:rPr>
          <w:rFonts w:ascii="Times New Roman;serif" w:hAnsi="Times New Roman;serif"/>
          <w:b w:val="false"/>
          <w:color w:val="000000"/>
          <w:sz w:val="20"/>
        </w:rPr>
        <w:t xml:space="preserve">2026, the Company had immaterial measurement period adjustments to goodwill. </w:t>
      </w:r>
    </w:p>
    <w:p>
      <w:pPr>
        <w:pStyle w:val="TextBody"/>
        <w:bidi w:val="0"/>
        <w:spacing w:before="0" w:after="0"/>
        <w:ind w:left="0" w:right="0" w:firstLine="360"/>
        <w:jc w:val="both"/>
        <w:rPr/>
      </w:pPr>
      <w:r>
        <w:rPr/>
      </w:r>
    </w:p>
    <w:p>
      <w:pPr>
        <w:pStyle w:val="TextBody"/>
        <w:bidi w:val="0"/>
        <w:spacing w:lineRule="auto" w:line="288" w:before="0" w:after="0"/>
        <w:ind w:left="0" w:right="0" w:firstLine="576"/>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29, 2026, the Company acquired certain assets of a privately held company. The acquisition was not material to the Company’s consolidated financial statements and was accounted for as a business combination. Substantially all of the purchase price was allocated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7. Leases </w:t>
      </w:r>
    </w:p>
    <w:p>
      <w:pPr>
        <w:pStyle w:val="TextBody"/>
        <w:bidi w:val="0"/>
        <w:spacing w:lineRule="auto" w:line="288" w:before="24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operating leases primarily for office real estate in the United States and internationally. From time to time, the Company entered into new leases and renewed existing leases in the ordinary course of business to support its ongoing operations and growth. The Company’s lease payments consist primarily of fixed rental payments for the right to use the underlying leased assets over the lease terms for all leases. </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leases is as follows (in thousands):</w:t>
      </w:r>
    </w:p>
    <w:tbl>
      <w:tblPr>
        <w:tblW w:w="6502" w:type="dxa"/>
        <w:jc w:val="left"/>
        <w:tblInd w:w="0" w:type="dxa"/>
        <w:tblLayout w:type="fixed"/>
        <w:tblCellMar>
          <w:top w:w="28" w:type="dxa"/>
          <w:left w:w="28" w:type="dxa"/>
          <w:bottom w:w="28" w:type="dxa"/>
          <w:right w:w="28" w:type="dxa"/>
        </w:tblCellMar>
      </w:tblPr>
      <w:tblGrid>
        <w:gridCol w:w="1148"/>
        <w:gridCol w:w="1010"/>
        <w:gridCol w:w="1021"/>
        <w:gridCol w:w="109"/>
        <w:gridCol w:w="109"/>
        <w:gridCol w:w="109"/>
        <w:gridCol w:w="228"/>
        <w:gridCol w:w="779"/>
        <w:gridCol w:w="117"/>
        <w:gridCol w:w="109"/>
        <w:gridCol w:w="109"/>
        <w:gridCol w:w="109"/>
        <w:gridCol w:w="300"/>
        <w:gridCol w:w="1026"/>
        <w:gridCol w:w="219"/>
      </w:tblGrid>
      <w:tr>
        <w:trPr/>
        <w:tc>
          <w:tcPr>
            <w:tcW w:w="114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10101"/>
                <w:sz w:val="20"/>
              </w:rPr>
            </w:pPr>
            <w:r>
              <w:rPr>
                <w:rFonts w:ascii="Times New Roman;serif" w:hAnsi="Times New Roman;serif"/>
                <w:b/>
                <w:color w:val="010101"/>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10101"/>
                <w:sz w:val="20"/>
              </w:rPr>
            </w:pPr>
            <w:r>
              <w:rPr>
                <w:rFonts w:ascii="Times New Roman;serif" w:hAnsi="Times New Roman;serif"/>
                <w:b w:val="false"/>
                <w:color w:val="010101"/>
                <w:sz w:val="20"/>
              </w:rPr>
              <w:t>Operating lease ROU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10101"/>
                <w:sz w:val="20"/>
              </w:rPr>
            </w:pPr>
            <w:r>
              <w:rPr>
                <w:rFonts w:ascii="Times New Roman;serif" w:hAnsi="Times New Roman;serif"/>
                <w:b/>
                <w:color w:val="010101"/>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44,413 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30,974 </w:t>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Operating lease ROU assets, net are included in other assets; operating lease liabilities, current are included in accrued expenses and other current liabilities; and operating lease liabilities, non-current are included in other liabilities, on the condensed consolidated balance sheets.</w:t>
      </w:r>
    </w:p>
    <w:p>
      <w:pPr>
        <w:pStyle w:val="TextBody"/>
        <w:bidi w:val="0"/>
        <w:spacing w:before="0" w:after="0"/>
        <w:jc w:val="left"/>
        <w:rPr/>
      </w:pPr>
      <w:r>
        <w:rPr/>
      </w:r>
    </w:p>
    <w:p>
      <w:pPr>
        <w:pStyle w:val="TextBody"/>
        <w:bidi w:val="0"/>
        <w:spacing w:lineRule="auto" w:line="288" w:before="0" w:after="0"/>
        <w:ind w:left="0" w:right="0" w:firstLine="576"/>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and discount rates were as follows:</w:t>
      </w:r>
    </w:p>
    <w:tbl>
      <w:tblPr>
        <w:tblW w:w="7433" w:type="dxa"/>
        <w:jc w:val="left"/>
        <w:tblInd w:w="0" w:type="dxa"/>
        <w:tblLayout w:type="fixed"/>
        <w:tblCellMar>
          <w:top w:w="28" w:type="dxa"/>
          <w:left w:w="28" w:type="dxa"/>
          <w:bottom w:w="28" w:type="dxa"/>
          <w:right w:w="28" w:type="dxa"/>
        </w:tblCellMar>
      </w:tblPr>
      <w:tblGrid>
        <w:gridCol w:w="1486"/>
        <w:gridCol w:w="1308"/>
        <w:gridCol w:w="1316"/>
        <w:gridCol w:w="250"/>
        <w:gridCol w:w="250"/>
        <w:gridCol w:w="624"/>
        <w:gridCol w:w="109"/>
        <w:gridCol w:w="109"/>
        <w:gridCol w:w="109"/>
        <w:gridCol w:w="334"/>
        <w:gridCol w:w="334"/>
        <w:gridCol w:w="832"/>
        <w:gridCol w:w="109"/>
        <w:gridCol w:w="109"/>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Weighted average remaining lease term (in years)</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Weighted average discount rate</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future minimum operating lease payments for each of the next five years and thereafter are as follows (in thousands):</w:t>
      </w:r>
    </w:p>
    <w:tbl>
      <w:tblPr>
        <w:tblW w:w="4589" w:type="dxa"/>
        <w:jc w:val="left"/>
        <w:tblInd w:w="0" w:type="dxa"/>
        <w:tblLayout w:type="fixed"/>
        <w:tblCellMar>
          <w:top w:w="28" w:type="dxa"/>
          <w:left w:w="28" w:type="dxa"/>
          <w:bottom w:w="28" w:type="dxa"/>
          <w:right w:w="28" w:type="dxa"/>
        </w:tblCellMar>
      </w:tblPr>
      <w:tblGrid>
        <w:gridCol w:w="1150"/>
        <w:gridCol w:w="1013"/>
        <w:gridCol w:w="1016"/>
        <w:gridCol w:w="274"/>
        <w:gridCol w:w="936"/>
        <w:gridCol w:w="200"/>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10101"/>
                <w:sz w:val="16"/>
              </w:rPr>
            </w:pPr>
            <w:r>
              <w:rPr>
                <w:rFonts w:ascii="Times New Roman;serif" w:hAnsi="Times New Roman;serif"/>
                <w:b/>
                <w:color w:val="010101"/>
                <w:sz w:val="16"/>
              </w:rPr>
              <w:t>Years ending December 31</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shd w:fill="FFFFFF" w:val="clear"/>
              </w:rPr>
            </w:pPr>
            <w:r>
              <w:rPr>
                <w:rFonts w:ascii="Times New Roman;serif" w:hAnsi="Times New Roman;serif"/>
                <w:b/>
                <w:color w:val="010101"/>
                <w:sz w:val="16"/>
                <w:shd w:fill="FFFFFF" w:val="clear"/>
              </w:rPr>
              <w:t>Operating Leases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7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20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5,945 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16,262 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future minimum lease payments</w:t>
            </w:r>
          </w:p>
        </w:tc>
        <w:tc>
          <w:tcPr>
            <w:tcW w:w="121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54,304 </w:t>
            </w:r>
          </w:p>
        </w:tc>
        <w:tc>
          <w:tcPr>
            <w:tcW w:w="20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operating lease liabilities</w:t>
            </w:r>
          </w:p>
        </w:tc>
        <w:tc>
          <w:tcPr>
            <w:tcW w:w="27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44,413 </w:t>
            </w:r>
          </w:p>
        </w:tc>
        <w:tc>
          <w:tcPr>
            <w:tcW w:w="20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76"/>
        <w:jc w:val="both"/>
        <w:rPr/>
      </w:pPr>
      <w:r>
        <w:rPr>
          <w:rFonts w:ascii="Times New Roman;serif" w:hAnsi="Times New Roman;serif"/>
          <w:b w:val="false"/>
          <w:color w:val="000000"/>
          <w:sz w:val="20"/>
        </w:rPr>
        <w:t xml:space="preserve">In February 2026, the Company entered into lease agreements associated with the exercise of an existing expansion option at its headquarters in San Jose, California (the “HQ Expansions”). The lease terms commence at various dates between April 2026 and January 2027 and expire in November 2032. As of June 30, 2026, the HQ Expansions that have not yet commenced result in total estimated future undiscounted lease obligations of </w:t>
      </w:r>
      <w:r>
        <w:rPr>
          <w:rFonts w:ascii="Times New Roman;serif" w:hAnsi="Times New Roman;serif"/>
          <w:b w:val="false"/>
          <w:color w:val="000000"/>
          <w:sz w:val="20"/>
          <w:shd w:fill="FFFFFF" w:val="clear"/>
        </w:rPr>
        <w:t>$11.7 million</w:t>
      </w:r>
      <w:r>
        <w:rPr>
          <w:rFonts w:ascii="Times New Roman;serif" w:hAnsi="Times New Roman;serif"/>
          <w:b w:val="false"/>
          <w:color w:val="000000"/>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8. Commitments and Contingencies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Purchase Commitments </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Company depends upon third-party subcontractors to manufacture wafers and other inventory parts. The Company’s subcontractor relationships typically allow for the cancellation of outstanding purchase orders but require payment of all expenses incurred through the date of cancellation.</w:t>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Company’s purchase commitments also include payments for software licenses and cloud services when there is a fixed, non-cancellable payment schedule or when minimum payments are due according to a delivery schedule. The Company is committed to make the following minimum payments under its purchase commitments as of June 30, 2026 (in thousands):</w:t>
      </w:r>
    </w:p>
    <w:tbl>
      <w:tblPr>
        <w:tblW w:w="4319" w:type="dxa"/>
        <w:jc w:val="left"/>
        <w:tblInd w:w="0" w:type="dxa"/>
        <w:tblLayout w:type="fixed"/>
        <w:tblCellMar>
          <w:top w:w="28" w:type="dxa"/>
          <w:left w:w="28" w:type="dxa"/>
          <w:bottom w:w="28" w:type="dxa"/>
          <w:right w:w="28" w:type="dxa"/>
        </w:tblCellMar>
      </w:tblPr>
      <w:tblGrid>
        <w:gridCol w:w="890"/>
        <w:gridCol w:w="782"/>
        <w:gridCol w:w="788"/>
        <w:gridCol w:w="329"/>
        <w:gridCol w:w="1290"/>
        <w:gridCol w:w="240"/>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Purchase Commitments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66,189 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purchase commitments</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1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181,669 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Legal Proceedings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subject to legal proceedings, claims and litigation arising in the ordinary course of business. The Company is not currently a party to any material legal proceedings or claims, nor is the Company aware of any other pending or threatened legal proceedings or claims that could reasonably be expected to have a material adverse effect on the Company’s business, operating results, cash flows or financial condition should such legal proceedings or claims be resolved unfavorably.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Indemnification Obligations </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often includes standard indemnification provisions in its arrangements with its members,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indemnification obligations due to the limited history of prior indemnification claims and the unique facts and circumstances involved in each particular agreement. The Company has not in the past incurred significant expense defending its licensees against third party claims, nor has it incurred significant expense under its standard service warranties or arrangements with its members, partners, suppliers, and vendors. Accordingly, the Company had no liabilities recorded for these provisions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9. Common Stock Warrants </w:t>
      </w:r>
    </w:p>
    <w:p>
      <w:pPr>
        <w:pStyle w:val="TextBody"/>
        <w:bidi w:val="0"/>
        <w:spacing w:lineRule="auto" w:line="288" w:before="0" w:after="120"/>
        <w:ind w:left="0" w:right="0" w:firstLine="576"/>
        <w:jc w:val="both"/>
        <w:rPr/>
      </w:pPr>
      <w:r>
        <w:rPr>
          <w:rFonts w:ascii="Times New Roman;serif" w:hAnsi="Times New Roman;serif"/>
          <w:b w:val="false"/>
          <w:color w:val="000000"/>
          <w:sz w:val="20"/>
          <w:shd w:fill="FFFFFF" w:val="clear"/>
        </w:rPr>
        <w:t xml:space="preserve">In April 2021, in connection with a legacy loan agreement that expired in January 2022, the Company issued to Silicon Valley Bank a warrant to purchase up to an aggregate of 126,185 shares of our common stock at an exercise price of $0.30 per share. During the three and </w:t>
      </w:r>
      <w:r>
        <w:rPr>
          <w:rFonts w:ascii="Times New Roman;serif" w:hAnsi="Times New Roman;serif"/>
          <w:b w:val="false"/>
          <w:color w:val="231F20"/>
          <w:sz w:val="20"/>
          <w:shd w:fill="FFFFFF" w:val="clear"/>
        </w:rPr>
        <w:t xml:space="preserve">six months ended June 30, </w:t>
      </w:r>
      <w:r>
        <w:rPr>
          <w:rFonts w:ascii="Times New Roman;serif" w:hAnsi="Times New Roman;serif"/>
          <w:b w:val="false"/>
          <w:color w:val="000000"/>
          <w:sz w:val="20"/>
          <w:shd w:fill="FFFFFF" w:val="clear"/>
        </w:rPr>
        <w:t xml:space="preserve">2026, the Company issued 125,987 shares of common stock in connection with the cashless exercise of warrants. </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In October 2022, the Company issued a warrant to a customer (“Holder”) to purchase an aggregate of up to 1,484,230 shares of Common Stock (the “Customer Warrant”). The exercise period of the Customer Warrant is through the seventh anniversary of the issue date.</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In October 2023, the Company amended the Customer Warrant and issued an additional warrant to the Holder to purchase an aggregate of up to 831,945 shares of Common Stock (the “2023 Warrant”), with the same exercise period as the Customer Warrant. The 2023 Warrant will vest and become exercisable over the contract term, contingent upon the achievement of performance conditions, comprised of specified tranches of purchases by the Holder and its affiliates to the Company.</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issued a warrant to the Holder to acquire up to an aggregate of 3,262,299 shares of common stock at an exercise price of $142.82 per share (the “2026 Warrant”, and together with the Customer Warrant and the 2023 Warrant, the “Warrants”). The 2026 Warrant will vest and become exercisable over the contract term, contingent upon the achievement of performance conditions, comprised of specified tranches of purchases by the Holder and its affiliates to the Company. </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the 2026 Warrant was determined to be $85.83 per share, using the Black-Scholes-Merton option pricing model, for maximum total 2026 Warrant fair value of $280.0 million. The per share grant date fair values of the 2026 Warrant were estimated using the following assumptions:</w:t>
      </w:r>
    </w:p>
    <w:tbl>
      <w:tblPr>
        <w:tblW w:w="4664" w:type="dxa"/>
        <w:jc w:val="left"/>
        <w:tblInd w:w="0" w:type="dxa"/>
        <w:tblLayout w:type="fixed"/>
        <w:tblCellMar>
          <w:top w:w="28" w:type="dxa"/>
          <w:left w:w="28" w:type="dxa"/>
          <w:bottom w:w="28" w:type="dxa"/>
          <w:right w:w="28" w:type="dxa"/>
        </w:tblCellMar>
      </w:tblPr>
      <w:tblGrid>
        <w:gridCol w:w="1120"/>
        <w:gridCol w:w="983"/>
        <w:gridCol w:w="986"/>
        <w:gridCol w:w="109"/>
        <w:gridCol w:w="109"/>
        <w:gridCol w:w="109"/>
        <w:gridCol w:w="211"/>
        <w:gridCol w:w="721"/>
        <w:gridCol w:w="316"/>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 Warrant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45" w:after="283"/>
              <w:jc w:val="left"/>
              <w:rPr>
                <w:rFonts w:ascii="Times New Roman;serif" w:hAnsi="Times New Roman;serif"/>
                <w:b w:val="false"/>
                <w:color w:val="231F20"/>
                <w:sz w:val="20"/>
              </w:rPr>
            </w:pPr>
            <w:r>
              <w:rPr>
                <w:rFonts w:ascii="Times New Roman;serif" w:hAnsi="Times New Roman;serif"/>
                <w:b w:val="false"/>
                <w:color w:val="231F2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Expected term (in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Per share fair value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576"/>
        <w:jc w:val="both"/>
        <w:rPr/>
      </w:pPr>
      <w:r>
        <w:rPr>
          <w:rFonts w:ascii="Times New Roman;serif" w:hAnsi="Times New Roman;serif"/>
          <w:b w:val="false"/>
          <w:color w:val="000000"/>
          <w:sz w:val="20"/>
        </w:rPr>
        <w:t xml:space="preserve">As of June 30, 2026 and December 31, 2025, an aggregate of </w:t>
      </w:r>
      <w:r>
        <w:rPr>
          <w:rFonts w:ascii="Times New Roman;serif" w:hAnsi="Times New Roman;serif"/>
          <w:b w:val="false"/>
          <w:color w:val="000000"/>
          <w:sz w:val="20"/>
          <w:shd w:fill="FFFFFF" w:val="clear"/>
        </w:rPr>
        <w:t>1,663,042</w:t>
      </w:r>
      <w:r>
        <w:rPr>
          <w:color w:val="000000"/>
        </w:rPr>
        <w:t xml:space="preserve"> </w:t>
      </w:r>
      <w:r>
        <w:rPr>
          <w:rFonts w:ascii="Times New Roman;serif" w:hAnsi="Times New Roman;serif"/>
          <w:b w:val="false"/>
          <w:color w:val="000000"/>
          <w:sz w:val="20"/>
        </w:rPr>
        <w:t xml:space="preserve">shares and 1,165,513 shares, respectively, of the underlying Warrants were vested and exercisable. Additionally, an aggregate of </w:t>
      </w:r>
      <w:r>
        <w:rPr>
          <w:rFonts w:ascii="Times New Roman;serif" w:hAnsi="Times New Roman;serif"/>
          <w:b w:val="false"/>
          <w:color w:val="000000"/>
          <w:sz w:val="20"/>
          <w:shd w:fill="FFFFFF" w:val="clear"/>
        </w:rPr>
        <w:t>24,722</w:t>
      </w:r>
      <w:r>
        <w:rPr>
          <w:color w:val="000000"/>
        </w:rPr>
        <w:t xml:space="preserve"> </w:t>
      </w:r>
      <w:r>
        <w:rPr>
          <w:rFonts w:ascii="Times New Roman;serif" w:hAnsi="Times New Roman;serif"/>
          <w:b w:val="false"/>
          <w:color w:val="000000"/>
          <w:sz w:val="20"/>
        </w:rPr>
        <w:t>and 30,589</w:t>
      </w:r>
      <w:r>
        <w:rPr>
          <w:color w:val="000000"/>
        </w:rPr>
        <w:t xml:space="preserve"> </w:t>
      </w:r>
      <w:r>
        <w:rPr>
          <w:rFonts w:ascii="Times New Roman;serif" w:hAnsi="Times New Roman;serif"/>
          <w:b w:val="false"/>
          <w:color w:val="000000"/>
          <w:sz w:val="20"/>
        </w:rPr>
        <w:t>shares were probable of vesting as of June 30, 2026 and December 31, 2025, respectively. There were</w:t>
      </w:r>
      <w:r>
        <w:rPr>
          <w:color w:val="000000"/>
          <w:shd w:fill="FFFFFF" w:val="clear"/>
        </w:rPr>
        <w:t xml:space="preserve"> </w:t>
      </w:r>
      <w:r>
        <w:rPr>
          <w:rFonts w:ascii="Times New Roman;serif" w:hAnsi="Times New Roman;serif"/>
          <w:b w:val="false"/>
          <w:color w:val="000000"/>
          <w:sz w:val="20"/>
          <w:shd w:fill="FFFFFF" w:val="clear"/>
        </w:rPr>
        <w:t xml:space="preserve">no Warrants </w:t>
      </w:r>
      <w:r>
        <w:rPr>
          <w:rFonts w:ascii="Times New Roman;serif" w:hAnsi="Times New Roman;serif"/>
          <w:b w:val="false"/>
          <w:color w:val="000000"/>
          <w:sz w:val="20"/>
        </w:rPr>
        <w:t>exercised by the Holder as of June 30, 2026.</w:t>
      </w:r>
    </w:p>
    <w:p>
      <w:pPr>
        <w:pStyle w:val="TextBody"/>
        <w:bidi w:val="0"/>
        <w:spacing w:lineRule="auto" w:line="288" w:before="0" w:after="120"/>
        <w:ind w:left="0" w:right="0" w:firstLine="576"/>
        <w:jc w:val="both"/>
        <w:rPr/>
      </w:pPr>
      <w:r>
        <w:rPr>
          <w:rFonts w:ascii="Times New Roman;serif" w:hAnsi="Times New Roman;serif"/>
          <w:b w:val="false"/>
          <w:color w:val="000000"/>
          <w:sz w:val="20"/>
        </w:rPr>
        <w:t xml:space="preserve">The Company recognized </w:t>
      </w:r>
      <w:r>
        <w:rPr>
          <w:rFonts w:ascii="Times New Roman;serif" w:hAnsi="Times New Roman;serif"/>
          <w:b w:val="false"/>
          <w:color w:val="000000"/>
          <w:sz w:val="20"/>
          <w:shd w:fill="FFFFFF" w:val="clear"/>
        </w:rPr>
        <w:t>$10.2 million</w:t>
      </w:r>
      <w:r>
        <w:rPr>
          <w:color w:val="000000"/>
        </w:rPr>
        <w:t xml:space="preserve"> </w:t>
      </w:r>
      <w:r>
        <w:rPr>
          <w:rFonts w:ascii="Times New Roman;serif" w:hAnsi="Times New Roman;serif"/>
          <w:b w:val="false"/>
          <w:color w:val="000000"/>
          <w:sz w:val="20"/>
        </w:rPr>
        <w:t xml:space="preserve">and $1.8 million for the three months ended June 30, 2026 and 2025, respectively, and </w:t>
      </w:r>
      <w:r>
        <w:rPr>
          <w:rFonts w:ascii="Times New Roman;serif" w:hAnsi="Times New Roman;serif"/>
          <w:b w:val="false"/>
          <w:color w:val="000000"/>
          <w:sz w:val="20"/>
          <w:shd w:fill="FFFFFF" w:val="clear"/>
        </w:rPr>
        <w:t>$12.3 million</w:t>
      </w:r>
      <w:r>
        <w:rPr>
          <w:color w:val="000000"/>
        </w:rPr>
        <w:t xml:space="preserve"> </w:t>
      </w:r>
      <w:r>
        <w:rPr>
          <w:rFonts w:ascii="Times New Roman;serif" w:hAnsi="Times New Roman;serif"/>
          <w:b w:val="false"/>
          <w:color w:val="000000"/>
          <w:sz w:val="20"/>
        </w:rPr>
        <w:t xml:space="preserve">and $2.1 million for the </w:t>
      </w:r>
      <w:r>
        <w:rPr>
          <w:rFonts w:ascii="Times New Roman;serif" w:hAnsi="Times New Roman;serif"/>
          <w:b w:val="false"/>
          <w:color w:val="231F20"/>
          <w:sz w:val="20"/>
        </w:rPr>
        <w:t xml:space="preserve">six months ended June 30, </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 xml:space="preserve">and 2025, respectively, </w:t>
      </w:r>
      <w:r>
        <w:rPr>
          <w:rFonts w:ascii="Times New Roman;serif" w:hAnsi="Times New Roman;serif"/>
          <w:b w:val="false"/>
          <w:color w:val="000000"/>
          <w:sz w:val="20"/>
        </w:rPr>
        <w:t>as a reduction of revenue in the condensed consolidated statements of operations and comprehensive income related to the Warrants. The remaining grant date fair values of the Warrants that are probable of vesting will be recognized as a reduction of revenue in proportion to the amount of related product sales, which could occur until January 2, 2033.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10. Stock-Based Compensation </w:t>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A summary of stock-based compensation expense recognized in the condensed consolidated statements of operations and comprehensive income is as follows (in thousands):</w:t>
      </w:r>
    </w:p>
    <w:tbl>
      <w:tblPr>
        <w:tblW w:w="7605"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(1)</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63,992 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 Stock-based compensation expense for the three and six months ended June 30, 2026 did not include the $4.0 million in share-based consideration related to acquisitions, see Note 6 - Business Combinations for further details.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Stock Options </w:t>
      </w:r>
    </w:p>
    <w:p>
      <w:pPr>
        <w:pStyle w:val="TextBody"/>
        <w:bidi w:val="0"/>
        <w:spacing w:lineRule="auto" w:line="288" w:before="0" w:after="120"/>
        <w:ind w:left="0" w:right="0" w:firstLine="576"/>
        <w:jc w:val="left"/>
        <w:rPr/>
      </w:pPr>
      <w:r>
        <w:rPr>
          <w:rFonts w:ascii="Times New Roman;serif" w:hAnsi="Times New Roman;serif"/>
          <w:b w:val="false"/>
          <w:color w:val="000000"/>
          <w:sz w:val="20"/>
        </w:rPr>
        <w:t xml:space="preserve">A summary of stock option activity under the </w:t>
      </w:r>
      <w:r>
        <w:rPr>
          <w:rFonts w:ascii="Times New Roman;serif" w:hAnsi="Times New Roman;serif"/>
          <w:b w:val="false"/>
          <w:color w:val="000000"/>
          <w:sz w:val="20"/>
          <w:shd w:fill="FFFFFF" w:val="clear"/>
        </w:rPr>
        <w:t>2018 Plan and 2024 Plan is as f</w:t>
      </w:r>
      <w:r>
        <w:rPr>
          <w:rFonts w:ascii="Times New Roman;serif" w:hAnsi="Times New Roman;serif"/>
          <w:b w:val="false"/>
          <w:color w:val="000000"/>
          <w:sz w:val="20"/>
        </w:rPr>
        <w:t>ollows (in thousands, except years and per share data):</w:t>
      </w:r>
    </w:p>
    <w:tbl>
      <w:tblPr>
        <w:tblW w:w="10205" w:type="dxa"/>
        <w:jc w:val="left"/>
        <w:tblInd w:w="0" w:type="dxa"/>
        <w:tblLayout w:type="fixed"/>
        <w:tblCellMar>
          <w:top w:w="28" w:type="dxa"/>
          <w:left w:w="28" w:type="dxa"/>
          <w:bottom w:w="28" w:type="dxa"/>
          <w:right w:w="28" w:type="dxa"/>
        </w:tblCellMar>
      </w:tblPr>
      <w:tblGrid>
        <w:gridCol w:w="1126"/>
        <w:gridCol w:w="988"/>
        <w:gridCol w:w="991"/>
        <w:gridCol w:w="273"/>
        <w:gridCol w:w="273"/>
        <w:gridCol w:w="274"/>
        <w:gridCol w:w="109"/>
        <w:gridCol w:w="109"/>
        <w:gridCol w:w="109"/>
        <w:gridCol w:w="211"/>
        <w:gridCol w:w="511"/>
        <w:gridCol w:w="109"/>
        <w:gridCol w:w="109"/>
        <w:gridCol w:w="109"/>
        <w:gridCol w:w="109"/>
        <w:gridCol w:w="1090"/>
        <w:gridCol w:w="1090"/>
        <w:gridCol w:w="1093"/>
        <w:gridCol w:w="109"/>
        <w:gridCol w:w="109"/>
        <w:gridCol w:w="109"/>
        <w:gridCol w:w="211"/>
        <w:gridCol w:w="826"/>
        <w:gridCol w:w="158"/>
      </w:tblGrid>
      <w:tr>
        <w:trPr/>
        <w:tc>
          <w:tcPr>
            <w:tcW w:w="11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450,336 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816,380 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Vested and expected to vest as of June 30, 2026</w:t>
            </w:r>
          </w:p>
        </w:tc>
        <w:tc>
          <w:tcPr>
            <w:tcW w:w="82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14" w:after="283"/>
              <w:jc w:val="left"/>
              <w:rPr/>
            </w:pPr>
            <w:r>
              <w:rPr/>
            </w:r>
          </w:p>
        </w:tc>
        <w:tc>
          <w:tcPr>
            <w:tcW w:w="327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14" w:after="283"/>
              <w:jc w:val="left"/>
              <w:rPr/>
            </w:pPr>
            <w:r>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816,380 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Exercisable as of June 30, 2026</w:t>
            </w:r>
          </w:p>
        </w:tc>
        <w:tc>
          <w:tcPr>
            <w:tcW w:w="82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804,240 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576"/>
        <w:jc w:val="both"/>
        <w:rPr/>
      </w:pPr>
      <w:r>
        <w:rPr>
          <w:rFonts w:ascii="Times New Roman;serif" w:hAnsi="Times New Roman;serif"/>
          <w:b w:val="false"/>
          <w:color w:val="000000"/>
          <w:sz w:val="20"/>
        </w:rPr>
        <w:t xml:space="preserve">As of June 30, 2026, there was approximately </w:t>
      </w:r>
      <w:r>
        <w:rPr>
          <w:rFonts w:ascii="Times New Roman;serif" w:hAnsi="Times New Roman;serif"/>
          <w:b w:val="false"/>
          <w:color w:val="000000"/>
          <w:sz w:val="20"/>
          <w:shd w:fill="FFFFFF" w:val="clear"/>
        </w:rPr>
        <w:t>$0.5 million</w:t>
      </w:r>
      <w:r>
        <w:rPr>
          <w:color w:val="000000"/>
        </w:rPr>
        <w:t xml:space="preserve"> </w:t>
      </w:r>
      <w:r>
        <w:rPr>
          <w:rFonts w:ascii="Times New Roman;serif" w:hAnsi="Times New Roman;serif"/>
          <w:b w:val="false"/>
          <w:color w:val="000000"/>
          <w:sz w:val="20"/>
        </w:rPr>
        <w:t xml:space="preserve">of total unrecognized compensation cost, related to unvested stock options, which is expected to be recognized over a weighted-average remaining requisite service period </w:t>
      </w:r>
      <w:r>
        <w:rPr>
          <w:rFonts w:ascii="Times New Roman;serif" w:hAnsi="Times New Roman;serif"/>
          <w:b w:val="false"/>
          <w:color w:val="000000"/>
          <w:sz w:val="20"/>
          <w:shd w:fill="FFFFFF" w:val="clear"/>
        </w:rPr>
        <w:t>of 1.0 years, using the straight-line method.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Restricted Stock Units (“RSUs”)</w:t>
      </w:r>
    </w:p>
    <w:p>
      <w:pPr>
        <w:pStyle w:val="TextBody"/>
        <w:bidi w:val="0"/>
        <w:spacing w:lineRule="auto" w:line="288" w:before="0" w:after="120"/>
        <w:ind w:left="0" w:right="0" w:firstLine="576"/>
        <w:jc w:val="left"/>
        <w:rPr>
          <w:rFonts w:ascii="Times New Roman;serif" w:hAnsi="Times New Roman;serif"/>
          <w:b w:val="false"/>
          <w:color w:val="000000"/>
          <w:sz w:val="20"/>
        </w:rPr>
      </w:pPr>
      <w:r>
        <w:rPr>
          <w:rFonts w:ascii="Times New Roman;serif" w:hAnsi="Times New Roman;serif"/>
          <w:b w:val="false"/>
          <w:color w:val="000000"/>
          <w:sz w:val="20"/>
        </w:rPr>
        <w:t>A summary of RSU activity under the 2018 Plan and 2024 Plan is as follows (in thousands, except per share data):</w:t>
      </w:r>
    </w:p>
    <w:tbl>
      <w:tblPr>
        <w:tblW w:w="6408" w:type="dxa"/>
        <w:jc w:val="left"/>
        <w:tblInd w:w="0" w:type="dxa"/>
        <w:tblLayout w:type="fixed"/>
        <w:tblCellMar>
          <w:top w:w="28" w:type="dxa"/>
          <w:left w:w="28" w:type="dxa"/>
          <w:bottom w:w="28" w:type="dxa"/>
          <w:right w:w="28" w:type="dxa"/>
        </w:tblCellMar>
      </w:tblPr>
      <w:tblGrid>
        <w:gridCol w:w="1180"/>
        <w:gridCol w:w="1036"/>
        <w:gridCol w:w="1039"/>
        <w:gridCol w:w="429"/>
        <w:gridCol w:w="429"/>
        <w:gridCol w:w="431"/>
        <w:gridCol w:w="109"/>
        <w:gridCol w:w="109"/>
        <w:gridCol w:w="109"/>
        <w:gridCol w:w="287"/>
        <w:gridCol w:w="839"/>
        <w:gridCol w:w="148"/>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Number of</w:t>
              <w:br/>
              <w:t>Restricted 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Weighted</w:t>
              <w:br/>
              <w:t>Average Grant</w:t>
              <w:br/>
              <w:t>Date Fair Value</w:t>
              <w:br/>
              <w:t> (per share)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12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9,354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8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51.39 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2,240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182.89 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(2,089)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36.79 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94.55 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9,180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85.27 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firstLine="576"/>
        <w:jc w:val="both"/>
        <w:rPr/>
      </w:pPr>
      <w:r>
        <w:rPr>
          <w:rFonts w:ascii="Times New Roman;serif" w:hAnsi="Times New Roman;serif"/>
          <w:b w:val="false"/>
          <w:color w:val="000000"/>
          <w:sz w:val="20"/>
        </w:rPr>
        <w:t xml:space="preserve">As of June 30, 2026, there was </w:t>
      </w:r>
      <w:r>
        <w:rPr>
          <w:rFonts w:ascii="Times New Roman;serif" w:hAnsi="Times New Roman;serif"/>
          <w:b w:val="false"/>
          <w:color w:val="000000"/>
          <w:sz w:val="20"/>
          <w:shd w:fill="FFFFFF" w:val="clear"/>
        </w:rPr>
        <w:t>$640.1 million</w:t>
      </w:r>
      <w:r>
        <w:rPr>
          <w:color w:val="000000"/>
        </w:rPr>
        <w:t xml:space="preserve"> </w:t>
      </w:r>
      <w:r>
        <w:rPr>
          <w:rFonts w:ascii="Times New Roman;serif" w:hAnsi="Times New Roman;serif"/>
          <w:b w:val="false"/>
          <w:color w:val="000000"/>
          <w:sz w:val="20"/>
        </w:rPr>
        <w:t xml:space="preserve">of unrecognized stock-based compensation expense related to unvested RSUs, which is expected to be recognized over a weighted-average period of </w:t>
      </w:r>
      <w:r>
        <w:rPr>
          <w:rFonts w:ascii="Times New Roman;serif" w:hAnsi="Times New Roman;serif"/>
          <w:b w:val="false"/>
          <w:color w:val="000000"/>
          <w:sz w:val="20"/>
          <w:shd w:fill="FFFFFF" w:val="clear"/>
        </w:rPr>
        <w:t>2.0 years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Performance Stock Units (“PSUs”)</w:t>
      </w:r>
    </w:p>
    <w:p>
      <w:pPr>
        <w:pStyle w:val="TextBody"/>
        <w:bidi w:val="0"/>
        <w:spacing w:lineRule="auto" w:line="288" w:before="120" w:after="283"/>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A summary of PSU activity under the 2024 Plan is as follows (in thousands, except per share data):</w:t>
      </w:r>
    </w:p>
    <w:tbl>
      <w:tblPr>
        <w:tblW w:w="6663" w:type="dxa"/>
        <w:jc w:val="left"/>
        <w:tblInd w:w="0" w:type="dxa"/>
        <w:tblLayout w:type="fixed"/>
        <w:tblCellMar>
          <w:top w:w="28" w:type="dxa"/>
          <w:left w:w="28" w:type="dxa"/>
          <w:bottom w:w="28" w:type="dxa"/>
          <w:right w:w="28" w:type="dxa"/>
        </w:tblCellMar>
      </w:tblPr>
      <w:tblGrid>
        <w:gridCol w:w="1180"/>
        <w:gridCol w:w="1036"/>
        <w:gridCol w:w="1039"/>
        <w:gridCol w:w="499"/>
        <w:gridCol w:w="499"/>
        <w:gridCol w:w="501"/>
        <w:gridCol w:w="109"/>
        <w:gridCol w:w="109"/>
        <w:gridCol w:w="109"/>
        <w:gridCol w:w="267"/>
        <w:gridCol w:w="914"/>
        <w:gridCol w:w="138"/>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10101"/>
                <w:sz w:val="16"/>
              </w:rPr>
            </w:pPr>
            <w:r>
              <w:rPr>
                <w:rFonts w:ascii="Times New Roman;serif" w:hAnsi="Times New Roman;serif"/>
                <w:b/>
                <w:color w:val="010101"/>
                <w:sz w:val="16"/>
              </w:rPr>
              <w:t>Number of</w:t>
            </w:r>
          </w:p>
          <w:p>
            <w:pPr>
              <w:pStyle w:val="TableContents"/>
              <w:bidi w:val="0"/>
              <w:spacing w:lineRule="auto" w:line="288" w:before="0" w:after="0"/>
              <w:jc w:val="center"/>
              <w:rPr>
                <w:rFonts w:ascii="Times New Roman;serif" w:hAnsi="Times New Roman;serif"/>
                <w:b/>
                <w:color w:val="010101"/>
                <w:sz w:val="16"/>
              </w:rPr>
            </w:pPr>
            <w:r>
              <w:rPr>
                <w:rFonts w:ascii="Times New Roman;serif" w:hAnsi="Times New Roman;serif"/>
                <w:b/>
                <w:color w:val="010101"/>
                <w:sz w:val="16"/>
              </w:rPr>
              <w:t>Performance Stock</w:t>
            </w:r>
          </w:p>
          <w:p>
            <w:pPr>
              <w:pStyle w:val="TableContents"/>
              <w:bidi w:val="0"/>
              <w:spacing w:lineRule="auto" w:line="288" w:before="0" w:after="0"/>
              <w:jc w:val="center"/>
              <w:rPr>
                <w:rFonts w:ascii="Times New Roman;serif" w:hAnsi="Times New Roman;serif"/>
                <w:b/>
                <w:color w:val="010101"/>
                <w:sz w:val="16"/>
              </w:rPr>
            </w:pPr>
            <w:r>
              <w:rPr>
                <w:rFonts w:ascii="Times New Roman;serif" w:hAnsi="Times New Roman;serif"/>
                <w:b/>
                <w:color w:val="010101"/>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Weighted</w:t>
              <w:br/>
              <w:t>Average Grant</w:t>
              <w:br/>
              <w:t xml:space="preserve">Date Fair Value </w:t>
              <w:br/>
              <w:t>( per share)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14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126.64 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154.08 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152.44 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126.16 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14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76"/>
        <w:jc w:val="both"/>
        <w:rPr/>
      </w:pPr>
      <w:r>
        <w:rPr>
          <w:rFonts w:ascii="Times New Roman;serif" w:hAnsi="Times New Roman;serif"/>
          <w:b w:val="false"/>
          <w:color w:val="000000"/>
          <w:sz w:val="20"/>
        </w:rPr>
        <w:t xml:space="preserve">As of June 30, 2026, there was </w:t>
      </w:r>
      <w:r>
        <w:rPr>
          <w:rFonts w:ascii="Times New Roman;serif" w:hAnsi="Times New Roman;serif"/>
          <w:b w:val="false"/>
          <w:color w:val="000000"/>
          <w:sz w:val="20"/>
          <w:shd w:fill="FFFFFF" w:val="clear"/>
        </w:rPr>
        <w:t>$40.3 million</w:t>
      </w:r>
      <w:r>
        <w:rPr>
          <w:color w:val="000000"/>
        </w:rPr>
        <w:t xml:space="preserve"> </w:t>
      </w:r>
      <w:r>
        <w:rPr>
          <w:rFonts w:ascii="Times New Roman;serif" w:hAnsi="Times New Roman;serif"/>
          <w:b w:val="false"/>
          <w:color w:val="000000"/>
          <w:sz w:val="20"/>
        </w:rPr>
        <w:t xml:space="preserve">of unrecognized stock-based compensation expense related to these PSUs, which is expected to be recognized over a weighted-average period of </w:t>
      </w:r>
      <w:r>
        <w:rPr>
          <w:rFonts w:ascii="Times New Roman;serif" w:hAnsi="Times New Roman;serif"/>
          <w:b w:val="false"/>
          <w:color w:val="000000"/>
          <w:sz w:val="20"/>
          <w:shd w:fill="FFFFFF" w:val="clear"/>
        </w:rPr>
        <w:t>2.1 years</w:t>
      </w:r>
      <w:r>
        <w:rPr>
          <w:rFonts w:ascii="Times New Roman;serif" w:hAnsi="Times New Roman;serif"/>
          <w:b w:val="false"/>
          <w:color w:val="000000"/>
          <w:sz w:val="20"/>
        </w:rPr>
        <w:t xml:space="preserve">. </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Net Income per Common Share</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share attributable to the Company’s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1906"/>
        <w:gridCol w:w="1447"/>
        <w:gridCol w:w="1450"/>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190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415" w:type="dxa"/>
            <w:gridSpan w:val="6"/>
            <w:tcBorders/>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net income per share computations: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164,316</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13,965</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diluted</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178,281</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Potentially dilutive securities include dilutive common stock from assumed exercise of stock options, RSUs, Warrants, and Employee Stock Purchase Plan (“ESPP”) shares using the treasury stock method. Under the treasury stock method, potential shares outstanding are not included in the computation of diluted net income per share if their effect is anti-dilutive. Anti-dilutive potential shares are as follows (in thousands): </w:t>
      </w:r>
    </w:p>
    <w:p>
      <w:pPr>
        <w:pStyle w:val="TextBody"/>
        <w:bidi w:val="0"/>
        <w:spacing w:before="0" w:after="0"/>
        <w:jc w:val="both"/>
        <w:rPr/>
      </w:pPr>
      <w:r>
        <w:rPr/>
      </w:r>
    </w:p>
    <w:tbl>
      <w:tblPr>
        <w:tblW w:w="4683" w:type="dxa"/>
        <w:jc w:val="left"/>
        <w:tblInd w:w="0" w:type="dxa"/>
        <w:tblLayout w:type="fixed"/>
        <w:tblCellMar>
          <w:top w:w="28" w:type="dxa"/>
          <w:left w:w="28" w:type="dxa"/>
          <w:bottom w:w="28" w:type="dxa"/>
          <w:right w:w="28" w:type="dxa"/>
        </w:tblCellMar>
      </w:tblPr>
      <w:tblGrid>
        <w:gridCol w:w="207"/>
        <w:gridCol w:w="181"/>
        <w:gridCol w:w="183"/>
        <w:gridCol w:w="180"/>
        <w:gridCol w:w="181"/>
        <w:gridCol w:w="178"/>
        <w:gridCol w:w="178"/>
        <w:gridCol w:w="178"/>
        <w:gridCol w:w="178"/>
        <w:gridCol w:w="308"/>
        <w:gridCol w:w="308"/>
        <w:gridCol w:w="178"/>
        <w:gridCol w:w="109"/>
        <w:gridCol w:w="109"/>
        <w:gridCol w:w="109"/>
        <w:gridCol w:w="233"/>
        <w:gridCol w:w="233"/>
        <w:gridCol w:w="156"/>
        <w:gridCol w:w="154"/>
        <w:gridCol w:w="154"/>
        <w:gridCol w:w="154"/>
        <w:gridCol w:w="308"/>
        <w:gridCol w:w="308"/>
        <w:gridCol w:w="218"/>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12. Income Taxes </w:t>
      </w:r>
    </w:p>
    <w:p>
      <w:pPr>
        <w:pStyle w:val="TextBody"/>
        <w:bidi w:val="0"/>
        <w:spacing w:lineRule="auto" w:line="288" w:before="0" w:after="12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Company's income tax benefit recognized for the three and six months ended June 30, 2026 and 2025 is as follows (in thousands, except percentages):</w:t>
      </w:r>
    </w:p>
    <w:tbl>
      <w:tblPr>
        <w:tblW w:w="7218" w:type="dxa"/>
        <w:jc w:val="left"/>
        <w:tblInd w:w="0" w:type="dxa"/>
        <w:tblLayout w:type="fixed"/>
        <w:tblCellMar>
          <w:top w:w="28" w:type="dxa"/>
          <w:left w:w="28" w:type="dxa"/>
          <w:bottom w:w="28" w:type="dxa"/>
          <w:right w:w="28" w:type="dxa"/>
        </w:tblCellMar>
      </w:tblPr>
      <w:tblGrid>
        <w:gridCol w:w="592"/>
        <w:gridCol w:w="519"/>
        <w:gridCol w:w="524"/>
        <w:gridCol w:w="211"/>
        <w:gridCol w:w="721"/>
        <w:gridCol w:w="271"/>
        <w:gridCol w:w="109"/>
        <w:gridCol w:w="109"/>
        <w:gridCol w:w="109"/>
        <w:gridCol w:w="211"/>
        <w:gridCol w:w="466"/>
        <w:gridCol w:w="271"/>
        <w:gridCol w:w="109"/>
        <w:gridCol w:w="109"/>
        <w:gridCol w:w="109"/>
        <w:gridCol w:w="211"/>
        <w:gridCol w:w="721"/>
        <w:gridCol w:w="271"/>
        <w:gridCol w:w="109"/>
        <w:gridCol w:w="109"/>
        <w:gridCol w:w="109"/>
        <w:gridCol w:w="211"/>
        <w:gridCol w:w="721"/>
        <w:gridCol w:w="316"/>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accrues for income taxes during interim periods based on the estimated effective tax rate for the year. The effective tax rate for the three and six months ended June 30, 2026 is different than the statutory federal tax rate primarily due to the valuation allowance in the United States and the excess tax benefits related to equity compensation, foreign derived intangible income deduction and U.S. research and development credits, which results in current tax benefits. </w:t>
      </w:r>
    </w:p>
    <w:p>
      <w:pPr>
        <w:pStyle w:val="TextBody"/>
        <w:bidi w:val="0"/>
        <w:spacing w:lineRule="auto" w:line="288" w:before="0" w:after="240"/>
        <w:ind w:left="0" w:right="0" w:firstLine="576"/>
        <w:jc w:val="both"/>
        <w:rPr/>
      </w:pPr>
      <w:r>
        <w:rPr>
          <w:rFonts w:ascii="Times New Roman;serif" w:hAnsi="Times New Roman;serif"/>
          <w:b w:val="false"/>
          <w:color w:val="000000"/>
          <w:sz w:val="20"/>
          <w:shd w:fill="FFFFFF" w:val="clear"/>
        </w:rPr>
        <w:t>The determination of the realizability of deferred tax assets requires significant judgment in assessing if there is sufficient positive evidence to support a conclusion that it is more likely than not the deferred tax assets will be realized. A significant piece of negative evidence in this assessment is the Company’s three-year cumulative loss, which is driven primarily by continued excess tax benefits related to equity compensation. If the Company continues to achieve positive operating results such that it could overcome this negative evidence, it may</w:t>
      </w:r>
      <w:r>
        <w:rPr>
          <w:color w:val="000000"/>
        </w:rPr>
        <w:t xml:space="preserve"> </w:t>
      </w:r>
      <w:r>
        <w:rPr>
          <w:rFonts w:ascii="Times New Roman;serif" w:hAnsi="Times New Roman;serif"/>
          <w:b w:val="false"/>
          <w:color w:val="000000"/>
          <w:sz w:val="20"/>
        </w:rPr>
        <w:t>release the valuation allowance associated with its U.S. deferred tax assets in future periods. A release of all, or a portion, of the valuation allowance would result in the recognition of certain deferred tax assets and may result in a material decrease to income tax expense for the period the release is recorded.</w:t>
      </w:r>
    </w:p>
    <w:p>
      <w:pPr>
        <w:pStyle w:val="TextBody"/>
        <w:bidi w:val="0"/>
        <w:spacing w:lineRule="auto" w:line="288" w:before="0" w:after="24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June 30, 2025 is different than the statutory federal tax rate primarily due to the valuation allowance in the United States and the excess tax benefits related to equity compensation, foreign derived intangible income deduction, and U.S. research and development credits, which result in current tax benefits. This is offset by the current tax expense from the capitalization of research and development expenditures under Section 174 of the Internal Revenue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576"/>
        <w:jc w:val="both"/>
        <w:rPr/>
      </w:pPr>
      <w:r>
        <w:rPr>
          <w:rFonts w:ascii="Times New Roman;serif" w:hAnsi="Times New Roman;serif"/>
          <w:b w:val="false"/>
          <w:i/>
          <w:color w:val="231F20"/>
          <w:sz w:val="20"/>
        </w:rPr>
        <w:t>The</w:t>
      </w:r>
      <w:r>
        <w:rPr>
          <w:color w:val="231F20"/>
        </w:rPr>
        <w:t xml:space="preserve"> </w:t>
      </w:r>
      <w:r>
        <w:rPr>
          <w:rFonts w:ascii="Times New Roman;serif" w:hAnsi="Times New Roman;serif"/>
          <w:b w:val="false"/>
          <w:i/>
          <w:color w:val="231F20"/>
          <w:sz w:val="20"/>
        </w:rPr>
        <w:t>following</w:t>
      </w:r>
      <w:r>
        <w:rPr>
          <w:color w:val="231F20"/>
        </w:rPr>
        <w:t xml:space="preserve"> </w:t>
      </w:r>
      <w:r>
        <w:rPr>
          <w:rFonts w:ascii="Times New Roman;serif" w:hAnsi="Times New Roman;serif"/>
          <w:b w:val="false"/>
          <w:i/>
          <w:color w:val="231F20"/>
          <w:sz w:val="20"/>
        </w:rPr>
        <w:t>discussion</w:t>
      </w:r>
      <w:r>
        <w:rPr>
          <w:color w:val="231F20"/>
        </w:rPr>
        <w:t xml:space="preserve"> </w:t>
      </w:r>
      <w:r>
        <w:rPr>
          <w:rFonts w:ascii="Times New Roman;serif" w:hAnsi="Times New Roman;serif"/>
          <w:b w:val="false"/>
          <w:i/>
          <w:color w:val="231F20"/>
          <w:sz w:val="20"/>
        </w:rPr>
        <w:t>and</w:t>
      </w:r>
      <w:r>
        <w:rPr>
          <w:color w:val="231F20"/>
        </w:rPr>
        <w:t xml:space="preserve"> </w:t>
      </w:r>
      <w:r>
        <w:rPr>
          <w:rFonts w:ascii="Times New Roman;serif" w:hAnsi="Times New Roman;serif"/>
          <w:b w:val="false"/>
          <w:i/>
          <w:color w:val="231F20"/>
          <w:sz w:val="20"/>
        </w:rPr>
        <w:t>analysis</w:t>
      </w:r>
      <w:r>
        <w:rPr>
          <w:color w:val="231F20"/>
        </w:rPr>
        <w:t xml:space="preserve"> </w:t>
      </w:r>
      <w:r>
        <w:rPr>
          <w:rFonts w:ascii="Times New Roman;serif" w:hAnsi="Times New Roman;serif"/>
          <w:b w:val="false"/>
          <w:i/>
          <w:color w:val="231F20"/>
          <w:sz w:val="20"/>
        </w:rPr>
        <w:t>of</w:t>
      </w:r>
      <w:r>
        <w:rPr>
          <w:color w:val="231F20"/>
        </w:rPr>
        <w:t xml:space="preserve"> </w:t>
      </w:r>
      <w:r>
        <w:rPr>
          <w:rFonts w:ascii="Times New Roman;serif" w:hAnsi="Times New Roman;serif"/>
          <w:b w:val="false"/>
          <w:i/>
          <w:color w:val="231F20"/>
          <w:sz w:val="20"/>
        </w:rPr>
        <w:t>our</w:t>
      </w:r>
      <w:r>
        <w:rPr>
          <w:color w:val="231F20"/>
        </w:rPr>
        <w:t xml:space="preserve"> </w:t>
      </w:r>
      <w:r>
        <w:rPr>
          <w:rFonts w:ascii="Times New Roman;serif" w:hAnsi="Times New Roman;serif"/>
          <w:b w:val="false"/>
          <w:i/>
          <w:color w:val="231F20"/>
          <w:sz w:val="20"/>
        </w:rPr>
        <w:t>financial</w:t>
      </w:r>
      <w:r>
        <w:rPr>
          <w:color w:val="231F20"/>
        </w:rPr>
        <w:t xml:space="preserve"> </w:t>
      </w:r>
      <w:r>
        <w:rPr>
          <w:rFonts w:ascii="Times New Roman;serif" w:hAnsi="Times New Roman;serif"/>
          <w:b w:val="false"/>
          <w:i/>
          <w:color w:val="231F20"/>
          <w:sz w:val="20"/>
        </w:rPr>
        <w:t>condition</w:t>
      </w:r>
      <w:r>
        <w:rPr>
          <w:color w:val="231F20"/>
        </w:rPr>
        <w:t xml:space="preserve"> </w:t>
      </w:r>
      <w:r>
        <w:rPr>
          <w:rFonts w:ascii="Times New Roman;serif" w:hAnsi="Times New Roman;serif"/>
          <w:b w:val="false"/>
          <w:i/>
          <w:color w:val="231F20"/>
          <w:sz w:val="20"/>
        </w:rPr>
        <w:t>and results</w:t>
      </w:r>
      <w:r>
        <w:rPr>
          <w:color w:val="231F20"/>
        </w:rPr>
        <w:t xml:space="preserve"> </w:t>
      </w:r>
      <w:r>
        <w:rPr>
          <w:rFonts w:ascii="Times New Roman;serif" w:hAnsi="Times New Roman;serif"/>
          <w:b w:val="false"/>
          <w:i/>
          <w:color w:val="231F20"/>
          <w:sz w:val="20"/>
        </w:rPr>
        <w:t>of operations</w:t>
      </w:r>
      <w:r>
        <w:rPr>
          <w:color w:val="231F20"/>
        </w:rPr>
        <w:t xml:space="preserve"> </w:t>
      </w:r>
      <w:r>
        <w:rPr>
          <w:rFonts w:ascii="Times New Roman;serif" w:hAnsi="Times New Roman;serif"/>
          <w:b w:val="false"/>
          <w:i/>
          <w:color w:val="231F20"/>
          <w:sz w:val="20"/>
        </w:rPr>
        <w:t>should</w:t>
      </w:r>
      <w:r>
        <w:rPr>
          <w:color w:val="231F20"/>
        </w:rPr>
        <w:t xml:space="preserve"> </w:t>
      </w:r>
      <w:r>
        <w:rPr>
          <w:rFonts w:ascii="Times New Roman;serif" w:hAnsi="Times New Roman;serif"/>
          <w:b w:val="false"/>
          <w:i/>
          <w:color w:val="231F20"/>
          <w:sz w:val="20"/>
        </w:rPr>
        <w:t>be read in conjunction</w:t>
      </w:r>
      <w:r>
        <w:rPr>
          <w:color w:val="231F20"/>
        </w:rPr>
        <w:t xml:space="preserve"> </w:t>
      </w:r>
      <w:r>
        <w:rPr>
          <w:rFonts w:ascii="Times New Roman;serif" w:hAnsi="Times New Roman;serif"/>
          <w:b w:val="false"/>
          <w:i/>
          <w:color w:val="231F20"/>
          <w:sz w:val="20"/>
        </w:rPr>
        <w:t>with</w:t>
      </w:r>
      <w:r>
        <w:rPr>
          <w:color w:val="231F20"/>
        </w:rPr>
        <w:t xml:space="preserve"> </w:t>
      </w:r>
      <w:r>
        <w:rPr>
          <w:rFonts w:ascii="Times New Roman;serif" w:hAnsi="Times New Roman;serif"/>
          <w:b w:val="false"/>
          <w:i/>
          <w:color w:val="231F20"/>
          <w:sz w:val="20"/>
        </w:rPr>
        <w:t>the</w:t>
      </w:r>
      <w:r>
        <w:rPr>
          <w:color w:val="231F20"/>
        </w:rPr>
        <w:t xml:space="preserve"> </w:t>
      </w:r>
      <w:r>
        <w:rPr>
          <w:rFonts w:ascii="Times New Roman;serif" w:hAnsi="Times New Roman;serif"/>
          <w:b w:val="false"/>
          <w:i/>
          <w:color w:val="231F20"/>
          <w:sz w:val="20"/>
        </w:rPr>
        <w:t>unaudited condensed consolidated</w:t>
      </w:r>
      <w:r>
        <w:rPr>
          <w:color w:val="231F20"/>
        </w:rPr>
        <w:t xml:space="preserve"> </w:t>
      </w:r>
      <w:r>
        <w:rPr>
          <w:rFonts w:ascii="Times New Roman;serif" w:hAnsi="Times New Roman;serif"/>
          <w:b w:val="false"/>
          <w:i/>
          <w:color w:val="231F20"/>
          <w:sz w:val="20"/>
        </w:rPr>
        <w:t>financial</w:t>
      </w:r>
      <w:r>
        <w:rPr>
          <w:color w:val="231F20"/>
        </w:rPr>
        <w:t xml:space="preserve"> </w:t>
      </w:r>
      <w:r>
        <w:rPr>
          <w:rFonts w:ascii="Times New Roman;serif" w:hAnsi="Times New Roman;serif"/>
          <w:b w:val="false"/>
          <w:i/>
          <w:color w:val="231F20"/>
          <w:sz w:val="20"/>
        </w:rPr>
        <w:t>statements</w:t>
      </w:r>
      <w:r>
        <w:rPr>
          <w:color w:val="231F20"/>
        </w:rPr>
        <w:t xml:space="preserve"> </w:t>
      </w:r>
      <w:r>
        <w:rPr>
          <w:rFonts w:ascii="Times New Roman;serif" w:hAnsi="Times New Roman;serif"/>
          <w:b w:val="false"/>
          <w:i/>
          <w:color w:val="231F20"/>
          <w:sz w:val="20"/>
        </w:rPr>
        <w:t>and</w:t>
      </w:r>
      <w:r>
        <w:rPr>
          <w:color w:val="231F20"/>
        </w:rPr>
        <w:t xml:space="preserve"> </w:t>
      </w:r>
      <w:r>
        <w:rPr>
          <w:rFonts w:ascii="Times New Roman;serif" w:hAnsi="Times New Roman;serif"/>
          <w:b w:val="false"/>
          <w:i/>
          <w:color w:val="231F20"/>
          <w:sz w:val="20"/>
        </w:rPr>
        <w:t>related</w:t>
      </w:r>
      <w:r>
        <w:rPr>
          <w:color w:val="231F20"/>
        </w:rPr>
        <w:t xml:space="preserve"> </w:t>
      </w:r>
      <w:r>
        <w:rPr>
          <w:rFonts w:ascii="Times New Roman;serif" w:hAnsi="Times New Roman;serif"/>
          <w:b w:val="false"/>
          <w:i/>
          <w:color w:val="231F20"/>
          <w:sz w:val="20"/>
        </w:rPr>
        <w:t>notes</w:t>
      </w:r>
      <w:r>
        <w:rPr>
          <w:color w:val="231F20"/>
        </w:rPr>
        <w:t xml:space="preserve"> </w:t>
      </w:r>
      <w:r>
        <w:rPr>
          <w:rFonts w:ascii="Times New Roman;serif" w:hAnsi="Times New Roman;serif"/>
          <w:b w:val="false"/>
          <w:i/>
          <w:color w:val="231F20"/>
          <w:sz w:val="20"/>
        </w:rPr>
        <w:t xml:space="preserve">included </w:t>
      </w:r>
      <w:r>
        <w:rPr>
          <w:rFonts w:ascii="Times New Roman;serif" w:hAnsi="Times New Roman;serif"/>
          <w:b w:val="false"/>
          <w:i/>
          <w:color w:val="000000"/>
          <w:sz w:val="20"/>
        </w:rPr>
        <w:t xml:space="preserve">elsewhere in this Quarterly Report on Form 10-Q and the audited consolidated financial statements and notes thereto and management’s discussion and analysis of financial condition and results of operations for the year ended December 31, 2025 included in our Annual Report on Form 10-K filed with the SEC on February 20, 2026. As discussed in the section titled “Special Note about Forward-Looking Statements,” this discussion contains forward-looking statements that involve risks and uncertainties. Our actual results could differ materially from those discussed in these forward-looking statements. Factors that could cause or contribute to such differences include, but are not limited to, those identified below and those discussed in the section titled “Risk Factors” and included elsewhere in this Quarterly Report on Form 10-Q and Annual Report on Form 10-K filed with the SEC on February 20,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erif" w:hAnsi="Times New Roman;serif"/>
          <w:b/>
          <w:color w:val="231F20"/>
          <w:sz w:val="20"/>
        </w:rPr>
      </w:pPr>
      <w:r>
        <w:rPr>
          <w:rFonts w:ascii="Times New Roman;serif" w:hAnsi="Times New Roman;serif"/>
          <w:b/>
          <w:color w:val="231F20"/>
          <w:sz w:val="20"/>
        </w:rPr>
        <w:t>Overview</w:t>
      </w:r>
    </w:p>
    <w:p>
      <w:pPr>
        <w:pStyle w:val="TextBody"/>
        <w:bidi w:val="0"/>
        <w:spacing w:lineRule="auto" w:line="288" w:before="240" w:after="283"/>
        <w:ind w:left="0" w:right="0" w:firstLine="576"/>
        <w:jc w:val="both"/>
        <w:rPr/>
      </w:pPr>
      <w:r>
        <w:rPr>
          <w:rFonts w:ascii="Times New Roman;serif" w:hAnsi="Times New Roman;serif"/>
          <w:b w:val="false"/>
          <w:color w:val="231F20"/>
          <w:sz w:val="20"/>
        </w:rPr>
        <w:t>Our mission</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to innovate,</w:t>
      </w:r>
      <w:r>
        <w:rPr>
          <w:color w:val="231F20"/>
        </w:rPr>
        <w:t xml:space="preserve"> </w:t>
      </w:r>
      <w:r>
        <w:rPr>
          <w:rFonts w:ascii="Times New Roman;serif" w:hAnsi="Times New Roman;serif"/>
          <w:b w:val="false"/>
          <w:color w:val="231F20"/>
          <w:sz w:val="20"/>
        </w:rPr>
        <w:t>design,</w:t>
      </w:r>
      <w:r>
        <w:rPr>
          <w:color w:val="231F20"/>
        </w:rPr>
        <w:t xml:space="preserve"> </w:t>
      </w:r>
      <w:r>
        <w:rPr>
          <w:rFonts w:ascii="Times New Roman;serif" w:hAnsi="Times New Roman;serif"/>
          <w:b w:val="false"/>
          <w:color w:val="231F20"/>
          <w:sz w:val="20"/>
        </w:rPr>
        <w:t>and deliver</w:t>
      </w:r>
      <w:r>
        <w:rPr>
          <w:color w:val="231F20"/>
        </w:rPr>
        <w:t xml:space="preserve"> </w:t>
      </w:r>
      <w:r>
        <w:rPr>
          <w:rFonts w:ascii="Times New Roman;serif" w:hAnsi="Times New Roman;serif"/>
          <w:b w:val="false"/>
          <w:color w:val="231F20"/>
          <w:sz w:val="20"/>
        </w:rPr>
        <w:t>semiconductor-based</w:t>
      </w:r>
      <w:r>
        <w:rPr>
          <w:color w:val="231F20"/>
        </w:rPr>
        <w:t xml:space="preserve"> </w:t>
      </w:r>
      <w:r>
        <w:rPr>
          <w:rFonts w:ascii="Times New Roman;serif" w:hAnsi="Times New Roman;serif"/>
          <w:b w:val="false"/>
          <w:color w:val="231F20"/>
          <w:sz w:val="20"/>
        </w:rPr>
        <w:t>connectivity</w:t>
      </w:r>
      <w:r>
        <w:rPr>
          <w:color w:val="231F20"/>
        </w:rPr>
        <w:t xml:space="preserve"> </w:t>
      </w:r>
      <w:r>
        <w:rPr>
          <w:rFonts w:ascii="Times New Roman;serif" w:hAnsi="Times New Roman;serif"/>
          <w:b w:val="false"/>
          <w:color w:val="231F20"/>
          <w:sz w:val="20"/>
        </w:rPr>
        <w:t>solutions</w:t>
      </w:r>
      <w:r>
        <w:rPr>
          <w:color w:val="231F20"/>
        </w:rPr>
        <w:t xml:space="preserve"> </w:t>
      </w:r>
      <w:r>
        <w:rPr>
          <w:rFonts w:ascii="Times New Roman;serif" w:hAnsi="Times New Roman;serif"/>
          <w:b w:val="false"/>
          <w:color w:val="231F20"/>
          <w:sz w:val="20"/>
        </w:rPr>
        <w:t>that are purpose-built</w:t>
      </w:r>
      <w:r>
        <w:rPr>
          <w:color w:val="231F20"/>
        </w:rPr>
        <w:t xml:space="preserve"> </w:t>
      </w:r>
      <w:r>
        <w:rPr>
          <w:rFonts w:ascii="Times New Roman;serif" w:hAnsi="Times New Roman;serif"/>
          <w:b w:val="false"/>
          <w:color w:val="231F20"/>
          <w:sz w:val="20"/>
        </w:rPr>
        <w:t>to unleash</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full</w:t>
      </w:r>
      <w:r>
        <w:rPr>
          <w:color w:val="231F20"/>
        </w:rPr>
        <w:t xml:space="preserve"> </w:t>
      </w:r>
      <w:r>
        <w:rPr>
          <w:rFonts w:ascii="Times New Roman;serif" w:hAnsi="Times New Roman;serif"/>
          <w:b w:val="false"/>
          <w:color w:val="231F20"/>
          <w:sz w:val="20"/>
        </w:rPr>
        <w:t>potential</w:t>
      </w:r>
      <w:r>
        <w:rPr>
          <w:color w:val="231F20"/>
        </w:rPr>
        <w:t xml:space="preserve"> </w:t>
      </w:r>
      <w:r>
        <w:rPr>
          <w:rFonts w:ascii="Times New Roman;serif" w:hAnsi="Times New Roman;serif"/>
          <w:b w:val="false"/>
          <w:color w:val="231F20"/>
          <w:sz w:val="20"/>
        </w:rPr>
        <w:t>of cloud</w:t>
      </w:r>
      <w:r>
        <w:rPr>
          <w:color w:val="231F20"/>
        </w:rPr>
        <w:t xml:space="preserve"> </w:t>
      </w:r>
      <w:r>
        <w:rPr>
          <w:rFonts w:ascii="Times New Roman;serif" w:hAnsi="Times New Roman;serif"/>
          <w:b w:val="false"/>
          <w:color w:val="231F20"/>
          <w:sz w:val="20"/>
        </w:rPr>
        <w:t>and AI infrastructure.</w:t>
      </w:r>
    </w:p>
    <w:p>
      <w:pPr>
        <w:pStyle w:val="TextBody"/>
        <w:bidi w:val="0"/>
        <w:spacing w:lineRule="auto" w:line="288" w:before="240" w:after="283"/>
        <w:ind w:left="0" w:right="0" w:firstLine="576"/>
        <w:jc w:val="both"/>
        <w:rPr/>
      </w:pPr>
      <w:r>
        <w:rPr>
          <w:rFonts w:ascii="Times New Roman;serif" w:hAnsi="Times New Roman;serif"/>
          <w:b w:val="false"/>
          <w:color w:val="231F20"/>
          <w:sz w:val="20"/>
        </w:rPr>
        <w:t>Building</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years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experience</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singular</w:t>
      </w:r>
      <w:r>
        <w:rPr>
          <w:color w:val="231F20"/>
        </w:rPr>
        <w:t xml:space="preserve"> </w:t>
      </w:r>
      <w:r>
        <w:rPr>
          <w:rFonts w:ascii="Times New Roman;serif" w:hAnsi="Times New Roman;serif"/>
          <w:b w:val="false"/>
          <w:color w:val="231F20"/>
          <w:sz w:val="20"/>
        </w:rPr>
        <w:t>focus</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addressing</w:t>
      </w:r>
      <w:r>
        <w:rPr>
          <w:color w:val="231F20"/>
        </w:rPr>
        <w:t xml:space="preserve"> </w:t>
      </w:r>
      <w:r>
        <w:rPr>
          <w:rFonts w:ascii="Times New Roman;serif" w:hAnsi="Times New Roman;serif"/>
          <w:b w:val="false"/>
          <w:color w:val="231F20"/>
          <w:sz w:val="20"/>
        </w:rPr>
        <w:t>connectivity</w:t>
      </w:r>
      <w:r>
        <w:rPr>
          <w:color w:val="231F20"/>
        </w:rPr>
        <w:t xml:space="preserve"> </w:t>
      </w:r>
      <w:r>
        <w:rPr>
          <w:rFonts w:ascii="Times New Roman;serif" w:hAnsi="Times New Roman;serif"/>
          <w:b w:val="false"/>
          <w:color w:val="231F20"/>
          <w:sz w:val="20"/>
        </w:rPr>
        <w:t>challenges</w:t>
      </w:r>
      <w:r>
        <w:rPr>
          <w:color w:val="231F20"/>
        </w:rPr>
        <w:t xml:space="preserve"> </w:t>
      </w:r>
      <w:r>
        <w:rPr>
          <w:rFonts w:ascii="Times New Roman;serif" w:hAnsi="Times New Roman;serif"/>
          <w:b w:val="false"/>
          <w:color w:val="231F20"/>
          <w:sz w:val="20"/>
        </w:rPr>
        <w:t>in data-centric systems,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developed</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deployed</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Intelligent</w:t>
      </w:r>
      <w:r>
        <w:rPr>
          <w:color w:val="231F20"/>
        </w:rPr>
        <w:t xml:space="preserve"> </w:t>
      </w:r>
      <w:r>
        <w:rPr>
          <w:rFonts w:ascii="Times New Roman;serif" w:hAnsi="Times New Roman;serif"/>
          <w:b w:val="false"/>
          <w:color w:val="231F20"/>
          <w:sz w:val="20"/>
        </w:rPr>
        <w:t>Connectivity</w:t>
      </w:r>
      <w:r>
        <w:rPr>
          <w:color w:val="231F20"/>
        </w:rPr>
        <w:t xml:space="preserve"> </w:t>
      </w:r>
      <w:r>
        <w:rPr>
          <w:rFonts w:ascii="Times New Roman;serif" w:hAnsi="Times New Roman;serif"/>
          <w:b w:val="false"/>
          <w:color w:val="231F20"/>
          <w:sz w:val="20"/>
        </w:rPr>
        <w:t>Platform</w:t>
      </w:r>
      <w:r>
        <w:rPr>
          <w:color w:val="231F20"/>
        </w:rPr>
        <w:t xml:space="preserve"> </w:t>
      </w:r>
      <w:r>
        <w:rPr>
          <w:rFonts w:ascii="Times New Roman;serif" w:hAnsi="Times New Roman;serif"/>
          <w:b w:val="false"/>
          <w:color w:val="231F20"/>
          <w:sz w:val="20"/>
        </w:rPr>
        <w:t>built</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ground up for</w:t>
      </w:r>
      <w:r>
        <w:rPr>
          <w:color w:val="231F20"/>
        </w:rPr>
        <w:t xml:space="preserve"> </w:t>
      </w:r>
      <w:r>
        <w:rPr>
          <w:rFonts w:ascii="Times New Roman;serif" w:hAnsi="Times New Roman;serif"/>
          <w:b w:val="false"/>
          <w:color w:val="231F20"/>
          <w:sz w:val="20"/>
        </w:rPr>
        <w:t>cloud</w:t>
      </w:r>
      <w:r>
        <w:rPr>
          <w:color w:val="231F20"/>
        </w:rPr>
        <w:t xml:space="preserve"> </w:t>
      </w:r>
      <w:r>
        <w:rPr>
          <w:rFonts w:ascii="Times New Roman;serif" w:hAnsi="Times New Roman;serif"/>
          <w:b w:val="false"/>
          <w:color w:val="231F20"/>
          <w:sz w:val="20"/>
        </w:rPr>
        <w:t>and AI infrastructure.</w:t>
      </w:r>
      <w:r>
        <w:rPr>
          <w:color w:val="231F20"/>
        </w:rPr>
        <w:t xml:space="preserve"> </w:t>
      </w:r>
      <w:r>
        <w:rPr>
          <w:rFonts w:ascii="Times New Roman;serif" w:hAnsi="Times New Roman;serif"/>
          <w:b w:val="false"/>
          <w:color w:val="231F20"/>
          <w:sz w:val="20"/>
        </w:rPr>
        <w:t>Our Intelligent</w:t>
      </w:r>
      <w:r>
        <w:rPr>
          <w:color w:val="231F20"/>
        </w:rPr>
        <w:t xml:space="preserve"> </w:t>
      </w:r>
      <w:r>
        <w:rPr>
          <w:rFonts w:ascii="Times New Roman;serif" w:hAnsi="Times New Roman;serif"/>
          <w:b w:val="false"/>
          <w:color w:val="231F20"/>
          <w:sz w:val="20"/>
        </w:rPr>
        <w:t>Connectivity</w:t>
      </w:r>
      <w:r>
        <w:rPr>
          <w:color w:val="231F20"/>
        </w:rPr>
        <w:t xml:space="preserve"> </w:t>
      </w:r>
      <w:r>
        <w:rPr>
          <w:rFonts w:ascii="Times New Roman;serif" w:hAnsi="Times New Roman;serif"/>
          <w:b w:val="false"/>
          <w:color w:val="231F20"/>
          <w:sz w:val="20"/>
        </w:rPr>
        <w:t>Platform is</w:t>
      </w:r>
      <w:r>
        <w:rPr>
          <w:color w:val="231F20"/>
        </w:rPr>
        <w:t xml:space="preserve"> </w:t>
      </w:r>
      <w:r>
        <w:rPr>
          <w:rFonts w:ascii="Times New Roman;serif" w:hAnsi="Times New Roman;serif"/>
          <w:b w:val="false"/>
          <w:color w:val="231F20"/>
          <w:sz w:val="20"/>
        </w:rPr>
        <w:t>comprised of semiconductor-based,</w:t>
      </w:r>
      <w:r>
        <w:rPr>
          <w:color w:val="231F20"/>
        </w:rPr>
        <w:t xml:space="preserve"> </w:t>
      </w:r>
      <w:r>
        <w:rPr>
          <w:rFonts w:ascii="Times New Roman;serif" w:hAnsi="Times New Roman;serif"/>
          <w:b w:val="false"/>
          <w:color w:val="231F20"/>
          <w:sz w:val="20"/>
        </w:rPr>
        <w:t>high-speed,</w:t>
      </w:r>
      <w:r>
        <w:rPr>
          <w:color w:val="231F20"/>
        </w:rPr>
        <w:t xml:space="preserve"> </w:t>
      </w:r>
      <w:r>
        <w:rPr>
          <w:rFonts w:ascii="Times New Roman;serif" w:hAnsi="Times New Roman;serif"/>
          <w:b w:val="false"/>
          <w:color w:val="231F20"/>
          <w:sz w:val="20"/>
        </w:rPr>
        <w:t>mixed-signal</w:t>
      </w:r>
      <w:r>
        <w:rPr>
          <w:color w:val="231F20"/>
        </w:rPr>
        <w:t xml:space="preserve"> </w:t>
      </w:r>
      <w:r>
        <w:rPr>
          <w:rFonts w:ascii="Times New Roman;serif" w:hAnsi="Times New Roman;serif"/>
          <w:b w:val="false"/>
          <w:color w:val="231F20"/>
          <w:sz w:val="20"/>
        </w:rPr>
        <w:t>connectivity</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integrate</w:t>
      </w:r>
      <w:r>
        <w:rPr>
          <w:color w:val="231F20"/>
        </w:rPr>
        <w:t xml:space="preserve"> </w:t>
      </w:r>
      <w:r>
        <w:rPr>
          <w:rFonts w:ascii="Times New Roman;serif" w:hAnsi="Times New Roman;serif"/>
          <w:b w:val="false"/>
          <w:color w:val="231F20"/>
          <w:sz w:val="20"/>
        </w:rPr>
        <w:t>a matrix</w:t>
      </w:r>
      <w:r>
        <w:rPr>
          <w:color w:val="231F20"/>
        </w:rPr>
        <w:t xml:space="preserve"> </w:t>
      </w:r>
      <w:r>
        <w:rPr>
          <w:rFonts w:ascii="Times New Roman;serif" w:hAnsi="Times New Roman;serif"/>
          <w:b w:val="false"/>
          <w:color w:val="231F20"/>
          <w:sz w:val="20"/>
        </w:rPr>
        <w:t>of microcontrollers</w:t>
      </w:r>
      <w:r>
        <w:rPr>
          <w:color w:val="231F20"/>
        </w:rPr>
        <w:t xml:space="preserve"> </w:t>
      </w:r>
      <w:r>
        <w:rPr>
          <w:rFonts w:ascii="Times New Roman;serif" w:hAnsi="Times New Roman;serif"/>
          <w:b w:val="false"/>
          <w:color w:val="231F20"/>
          <w:sz w:val="20"/>
        </w:rPr>
        <w:t xml:space="preserve">and sensors, and </w:t>
      </w:r>
      <w:r>
        <w:rPr>
          <w:rFonts w:ascii="Times New Roman;serif" w:hAnsi="Times New Roman;serif"/>
          <w:b w:val="false"/>
          <w:color w:val="000000"/>
          <w:sz w:val="20"/>
        </w:rPr>
        <w:t xml:space="preserve">COSMOS, our software suite, which is embedded in our connectivity products and integrated into our customers’ systems. </w:t>
      </w:r>
    </w:p>
    <w:p>
      <w:pPr>
        <w:pStyle w:val="TextBody"/>
        <w:bidi w:val="0"/>
        <w:spacing w:lineRule="auto" w:line="288" w:before="240" w:after="283"/>
        <w:ind w:left="0" w:right="0" w:firstLine="576"/>
        <w:jc w:val="both"/>
        <w:rPr/>
      </w:pP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Intelligent Connectivity Platform provides</w:t>
      </w:r>
      <w:r>
        <w:rPr>
          <w:color w:val="231F20"/>
        </w:rPr>
        <w:t xml:space="preserve"> </w:t>
      </w:r>
      <w:r>
        <w:rPr>
          <w:rFonts w:ascii="Times New Roman;serif" w:hAnsi="Times New Roman;serif"/>
          <w:b w:val="false"/>
          <w:color w:val="231F20"/>
          <w:sz w:val="20"/>
        </w:rPr>
        <w:t>our customers with the ability</w:t>
      </w:r>
      <w:r>
        <w:rPr>
          <w:color w:val="231F20"/>
        </w:rPr>
        <w:t xml:space="preserve"> </w:t>
      </w:r>
      <w:r>
        <w:rPr>
          <w:rFonts w:ascii="Times New Roman;serif" w:hAnsi="Times New Roman;serif"/>
          <w:b w:val="false"/>
          <w:color w:val="231F20"/>
          <w:sz w:val="20"/>
        </w:rPr>
        <w:t>to deploy and operate high-performance</w:t>
      </w:r>
      <w:r>
        <w:rPr>
          <w:color w:val="231F20"/>
        </w:rPr>
        <w:t xml:space="preserve"> </w:t>
      </w:r>
      <w:r>
        <w:rPr>
          <w:rFonts w:ascii="Times New Roman;serif" w:hAnsi="Times New Roman;serif"/>
          <w:b w:val="false"/>
          <w:color w:val="231F20"/>
          <w:sz w:val="20"/>
        </w:rPr>
        <w:t>cloud</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AI</w:t>
      </w:r>
      <w:r>
        <w:rPr>
          <w:color w:val="231F20"/>
        </w:rPr>
        <w:t xml:space="preserve"> </w:t>
      </w:r>
      <w:r>
        <w:rPr>
          <w:rFonts w:ascii="Times New Roman;serif" w:hAnsi="Times New Roman;serif"/>
          <w:b w:val="false"/>
          <w:color w:val="231F20"/>
          <w:sz w:val="20"/>
        </w:rPr>
        <w:t>infrastructure</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scale,</w:t>
      </w:r>
      <w:r>
        <w:rPr>
          <w:color w:val="231F20"/>
        </w:rPr>
        <w:t xml:space="preserve"> </w:t>
      </w:r>
      <w:r>
        <w:rPr>
          <w:rFonts w:ascii="Times New Roman;serif" w:hAnsi="Times New Roman;serif"/>
          <w:b w:val="false"/>
          <w:color w:val="231F20"/>
          <w:sz w:val="20"/>
        </w:rPr>
        <w:t>addressing</w:t>
      </w:r>
      <w:r>
        <w:rPr>
          <w:color w:val="231F20"/>
        </w:rPr>
        <w:t xml:space="preserve"> </w:t>
      </w:r>
      <w:r>
        <w:rPr>
          <w:rFonts w:ascii="Times New Roman;serif" w:hAnsi="Times New Roman;serif"/>
          <w:b w:val="false"/>
          <w:color w:val="231F20"/>
          <w:sz w:val="20"/>
        </w:rPr>
        <w:t>an</w:t>
      </w:r>
      <w:r>
        <w:rPr>
          <w:color w:val="231F20"/>
        </w:rPr>
        <w:t xml:space="preserve"> </w:t>
      </w:r>
      <w:r>
        <w:rPr>
          <w:rFonts w:ascii="Times New Roman;serif" w:hAnsi="Times New Roman;serif"/>
          <w:b w:val="false"/>
          <w:color w:val="231F20"/>
          <w:sz w:val="20"/>
        </w:rPr>
        <w:t>increasingly</w:t>
      </w:r>
      <w:r>
        <w:rPr>
          <w:color w:val="231F20"/>
        </w:rPr>
        <w:t xml:space="preserve"> </w:t>
      </w:r>
      <w:r>
        <w:rPr>
          <w:rFonts w:ascii="Times New Roman;serif" w:hAnsi="Times New Roman;serif"/>
          <w:b w:val="false"/>
          <w:color w:val="231F20"/>
          <w:sz w:val="20"/>
        </w:rPr>
        <w:t>diverse</w:t>
      </w:r>
      <w:r>
        <w:rPr>
          <w:color w:val="231F20"/>
        </w:rPr>
        <w:t xml:space="preserve"> </w:t>
      </w:r>
      <w:r>
        <w:rPr>
          <w:rFonts w:ascii="Times New Roman;serif" w:hAnsi="Times New Roman;serif"/>
          <w:b w:val="false"/>
          <w:color w:val="231F20"/>
          <w:sz w:val="20"/>
        </w:rPr>
        <w:t>set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requirements. We provide</w:t>
      </w:r>
      <w:r>
        <w:rPr>
          <w:color w:val="231F20"/>
        </w:rPr>
        <w:t xml:space="preserve"> </w:t>
      </w:r>
      <w:r>
        <w:rPr>
          <w:rFonts w:ascii="Times New Roman;serif" w:hAnsi="Times New Roman;serif"/>
          <w:b w:val="false"/>
          <w:color w:val="231F20"/>
          <w:sz w:val="20"/>
        </w:rPr>
        <w:t>our connectivity</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in various</w:t>
      </w:r>
      <w:r>
        <w:rPr>
          <w:color w:val="231F20"/>
        </w:rPr>
        <w:t xml:space="preserve"> </w:t>
      </w:r>
      <w:r>
        <w:rPr>
          <w:rFonts w:ascii="Times New Roman;serif" w:hAnsi="Times New Roman;serif"/>
          <w:b w:val="false"/>
          <w:color w:val="231F20"/>
          <w:sz w:val="20"/>
        </w:rPr>
        <w:t>form</w:t>
      </w:r>
      <w:r>
        <w:rPr>
          <w:color w:val="231F20"/>
        </w:rPr>
        <w:t xml:space="preserve"> </w:t>
      </w:r>
      <w:r>
        <w:rPr>
          <w:rFonts w:ascii="Times New Roman;serif" w:hAnsi="Times New Roman;serif"/>
          <w:b w:val="false"/>
          <w:color w:val="231F20"/>
          <w:sz w:val="20"/>
        </w:rPr>
        <w:t>factors,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Integrated Circuits (“ICs”), boards,</w:t>
      </w:r>
      <w:r>
        <w:rPr>
          <w:color w:val="231F20"/>
        </w:rPr>
        <w:t xml:space="preserve"> </w:t>
      </w:r>
      <w:r>
        <w:rPr>
          <w:rFonts w:ascii="Times New Roman;serif" w:hAnsi="Times New Roman;serif"/>
          <w:b w:val="false"/>
          <w:color w:val="231F20"/>
          <w:sz w:val="20"/>
        </w:rPr>
        <w:t>and modules.</w:t>
      </w:r>
    </w:p>
    <w:p>
      <w:pPr>
        <w:pStyle w:val="TextBody"/>
        <w:bidi w:val="0"/>
        <w:spacing w:lineRule="auto" w:line="288" w:before="240" w:after="283"/>
        <w:ind w:left="0" w:right="0" w:firstLine="576"/>
        <w:jc w:val="both"/>
        <w:rPr/>
      </w:pPr>
      <w:r>
        <w:rPr>
          <w:rFonts w:ascii="Times New Roman;serif" w:hAnsi="Times New Roman;serif"/>
          <w:b w:val="false"/>
          <w:color w:val="231F20"/>
          <w:sz w:val="20"/>
        </w:rPr>
        <w:t>Our patented software-defined</w:t>
      </w:r>
      <w:r>
        <w:rPr>
          <w:color w:val="231F20"/>
        </w:rPr>
        <w:t xml:space="preserve"> </w:t>
      </w:r>
      <w:r>
        <w:rPr>
          <w:rFonts w:ascii="Times New Roman;serif" w:hAnsi="Times New Roman;serif"/>
          <w:b w:val="false"/>
          <w:color w:val="231F20"/>
          <w:sz w:val="20"/>
        </w:rPr>
        <w:t>platform</w:t>
      </w:r>
      <w:r>
        <w:rPr>
          <w:color w:val="231F20"/>
        </w:rPr>
        <w:t xml:space="preserve"> </w:t>
      </w:r>
      <w:r>
        <w:rPr>
          <w:rFonts w:ascii="Times New Roman;serif" w:hAnsi="Times New Roman;serif"/>
          <w:b w:val="false"/>
          <w:color w:val="231F20"/>
          <w:sz w:val="20"/>
        </w:rPr>
        <w:t>approach delivers</w:t>
      </w:r>
      <w:r>
        <w:rPr>
          <w:color w:val="231F20"/>
        </w:rPr>
        <w:t xml:space="preserve"> </w:t>
      </w:r>
      <w:r>
        <w:rPr>
          <w:rFonts w:ascii="Times New Roman;serif" w:hAnsi="Times New Roman;serif"/>
          <w:b w:val="false"/>
          <w:color w:val="231F20"/>
          <w:sz w:val="20"/>
        </w:rPr>
        <w:t>critical</w:t>
      </w:r>
      <w:r>
        <w:rPr>
          <w:color w:val="231F20"/>
        </w:rPr>
        <w:t xml:space="preserve"> </w:t>
      </w:r>
      <w:r>
        <w:rPr>
          <w:rFonts w:ascii="Times New Roman;serif" w:hAnsi="Times New Roman;serif"/>
          <w:b w:val="false"/>
          <w:color w:val="231F20"/>
          <w:sz w:val="20"/>
        </w:rPr>
        <w:t>connectivity</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enables flexibility</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customization,</w:t>
      </w:r>
      <w:r>
        <w:rPr>
          <w:color w:val="231F20"/>
        </w:rPr>
        <w:t xml:space="preserve"> </w:t>
      </w:r>
      <w:r>
        <w:rPr>
          <w:rFonts w:ascii="Times New Roman;serif" w:hAnsi="Times New Roman;serif"/>
          <w:b w:val="false"/>
          <w:color w:val="231F20"/>
          <w:sz w:val="20"/>
        </w:rPr>
        <w:t>and supports</w:t>
      </w:r>
      <w:r>
        <w:rPr>
          <w:color w:val="231F20"/>
        </w:rPr>
        <w:t xml:space="preserve"> </w:t>
      </w:r>
      <w:r>
        <w:rPr>
          <w:rFonts w:ascii="Times New Roman;serif" w:hAnsi="Times New Roman;serif"/>
          <w:b w:val="false"/>
          <w:color w:val="231F20"/>
          <w:sz w:val="20"/>
        </w:rPr>
        <w:t>observability</w:t>
      </w:r>
      <w:r>
        <w:rPr>
          <w:color w:val="231F20"/>
        </w:rPr>
        <w:t xml:space="preserve"> </w:t>
      </w:r>
      <w:r>
        <w:rPr>
          <w:rFonts w:ascii="Times New Roman;serif" w:hAnsi="Times New Roman;serif"/>
          <w:b w:val="false"/>
          <w:color w:val="231F20"/>
          <w:sz w:val="20"/>
        </w:rPr>
        <w:t>and predictive</w:t>
      </w:r>
      <w:r>
        <w:rPr>
          <w:color w:val="231F20"/>
        </w:rPr>
        <w:t xml:space="preserve"> </w:t>
      </w:r>
      <w:r>
        <w:rPr>
          <w:rFonts w:ascii="Times New Roman;serif" w:hAnsi="Times New Roman;serif"/>
          <w:b w:val="false"/>
          <w:color w:val="231F20"/>
          <w:sz w:val="20"/>
        </w:rPr>
        <w:t>analytics.</w:t>
      </w:r>
      <w:r>
        <w:rPr>
          <w:color w:val="231F20"/>
        </w:rPr>
        <w:t xml:space="preserve"> </w:t>
      </w:r>
      <w:r>
        <w:rPr>
          <w:rFonts w:ascii="Times New Roman;serif" w:hAnsi="Times New Roman;serif"/>
          <w:b w:val="false"/>
          <w:color w:val="231F20"/>
          <w:sz w:val="20"/>
        </w:rPr>
        <w:t>This approach</w:t>
      </w:r>
      <w:r>
        <w:rPr>
          <w:color w:val="231F20"/>
        </w:rPr>
        <w:t xml:space="preserve"> </w:t>
      </w:r>
      <w:r>
        <w:rPr>
          <w:rFonts w:ascii="Times New Roman;serif" w:hAnsi="Times New Roman;serif"/>
          <w:b w:val="false"/>
          <w:color w:val="231F20"/>
          <w:sz w:val="20"/>
        </w:rPr>
        <w:t>is designed to efficiently address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data,</w:t>
      </w:r>
      <w:r>
        <w:rPr>
          <w:color w:val="231F20"/>
        </w:rPr>
        <w:t xml:space="preserve"> </w:t>
      </w:r>
      <w:r>
        <w:rPr>
          <w:rFonts w:ascii="Times New Roman;serif" w:hAnsi="Times New Roman;serif"/>
          <w:b w:val="false"/>
          <w:color w:val="231F20"/>
          <w:sz w:val="20"/>
        </w:rPr>
        <w:t>network,</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memory</w:t>
      </w:r>
      <w:r>
        <w:rPr>
          <w:color w:val="231F20"/>
        </w:rPr>
        <w:t xml:space="preserve"> </w:t>
      </w:r>
      <w:r>
        <w:rPr>
          <w:rFonts w:ascii="Times New Roman;serif" w:hAnsi="Times New Roman;serif"/>
          <w:b w:val="false"/>
          <w:color w:val="231F20"/>
          <w:sz w:val="20"/>
        </w:rPr>
        <w:t>bottlenecks,</w:t>
      </w:r>
      <w:r>
        <w:rPr>
          <w:color w:val="231F20"/>
        </w:rPr>
        <w:t xml:space="preserve"> </w:t>
      </w:r>
      <w:r>
        <w:rPr>
          <w:rFonts w:ascii="Times New Roman;serif" w:hAnsi="Times New Roman;serif"/>
          <w:b w:val="false"/>
          <w:color w:val="231F20"/>
          <w:sz w:val="20"/>
        </w:rPr>
        <w:t>scalability,</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unique</w:t>
      </w:r>
      <w:r>
        <w:rPr>
          <w:color w:val="231F20"/>
        </w:rPr>
        <w:t xml:space="preserve"> </w:t>
      </w:r>
      <w:r>
        <w:rPr>
          <w:rFonts w:ascii="Times New Roman;serif" w:hAnsi="Times New Roman;serif"/>
          <w:b w:val="false"/>
          <w:color w:val="231F20"/>
          <w:sz w:val="20"/>
        </w:rPr>
        <w:t>infrastructure</w:t>
      </w:r>
      <w:r>
        <w:rPr>
          <w:color w:val="231F20"/>
        </w:rPr>
        <w:t xml:space="preserve"> </w:t>
      </w:r>
      <w:r>
        <w:rPr>
          <w:rFonts w:ascii="Times New Roman;serif" w:hAnsi="Times New Roman;serif"/>
          <w:b w:val="false"/>
          <w:color w:val="231F20"/>
          <w:sz w:val="20"/>
        </w:rPr>
        <w:t>requirements</w:t>
      </w:r>
      <w:r>
        <w:rPr>
          <w:color w:val="231F20"/>
        </w:rPr>
        <w:t xml:space="preserve"> </w:t>
      </w:r>
      <w:r>
        <w:rPr>
          <w:rFonts w:ascii="Times New Roman;serif" w:hAnsi="Times New Roman;serif"/>
          <w:b w:val="false"/>
          <w:color w:val="231F20"/>
          <w:sz w:val="20"/>
        </w:rPr>
        <w:t>of our hyperscaler</w:t>
      </w:r>
      <w:r>
        <w:rPr>
          <w:color w:val="231F20"/>
        </w:rPr>
        <w:t xml:space="preserve"> </w:t>
      </w:r>
      <w:r>
        <w:rPr>
          <w:rFonts w:ascii="Times New Roman;serif" w:hAnsi="Times New Roman;serif"/>
          <w:b w:val="false"/>
          <w:color w:val="231F20"/>
          <w:sz w:val="20"/>
        </w:rPr>
        <w:t>and system</w:t>
      </w:r>
      <w:r>
        <w:rPr>
          <w:color w:val="231F20"/>
        </w:rPr>
        <w:t xml:space="preserve"> </w:t>
      </w:r>
      <w:r>
        <w:rPr>
          <w:rFonts w:ascii="Times New Roman;serif" w:hAnsi="Times New Roman;serif"/>
          <w:b w:val="false"/>
          <w:color w:val="231F20"/>
          <w:sz w:val="20"/>
        </w:rPr>
        <w:t>OEM customers.</w:t>
      </w:r>
    </w:p>
    <w:p>
      <w:pPr>
        <w:pStyle w:val="TextBody"/>
        <w:bidi w:val="0"/>
        <w:spacing w:lineRule="auto" w:line="288" w:before="240" w:after="283"/>
        <w:ind w:left="0" w:right="0" w:firstLine="576"/>
        <w:jc w:val="both"/>
        <w:rPr/>
      </w:pPr>
      <w:r>
        <w:rPr>
          <w:rFonts w:ascii="Times New Roman;serif" w:hAnsi="Times New Roman;serif"/>
          <w:b w:val="false"/>
          <w:color w:val="231F20"/>
          <w:sz w:val="20"/>
        </w:rPr>
        <w:t>Based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trusted</w:t>
      </w:r>
      <w:r>
        <w:rPr>
          <w:color w:val="231F20"/>
        </w:rPr>
        <w:t xml:space="preserve"> </w:t>
      </w:r>
      <w:r>
        <w:rPr>
          <w:rFonts w:ascii="Times New Roman;serif" w:hAnsi="Times New Roman;serif"/>
          <w:b w:val="false"/>
          <w:color w:val="231F20"/>
          <w:sz w:val="20"/>
        </w:rPr>
        <w:t>relationships</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leading</w:t>
      </w:r>
      <w:r>
        <w:rPr>
          <w:color w:val="231F20"/>
        </w:rPr>
        <w:t xml:space="preserve"> </w:t>
      </w:r>
      <w:r>
        <w:rPr>
          <w:rFonts w:ascii="Times New Roman;serif" w:hAnsi="Times New Roman;serif"/>
          <w:b w:val="false"/>
          <w:color w:val="231F20"/>
          <w:sz w:val="20"/>
        </w:rPr>
        <w:t>hyperscalers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collaboration</w:t>
      </w:r>
      <w:r>
        <w:rPr>
          <w:color w:val="231F20"/>
        </w:rPr>
        <w:t xml:space="preserve"> </w:t>
      </w:r>
      <w:r>
        <w:rPr>
          <w:rFonts w:ascii="Times New Roman;serif" w:hAnsi="Times New Roman;serif"/>
          <w:b w:val="false"/>
          <w:color w:val="231F20"/>
          <w:sz w:val="20"/>
        </w:rPr>
        <w:t>with data</w:t>
      </w:r>
      <w:r>
        <w:rPr>
          <w:color w:val="231F20"/>
        </w:rPr>
        <w:t xml:space="preserve"> </w:t>
      </w:r>
      <w:r>
        <w:rPr>
          <w:rFonts w:ascii="Times New Roman;serif" w:hAnsi="Times New Roman;serif"/>
          <w:b w:val="false"/>
          <w:color w:val="231F20"/>
          <w:sz w:val="20"/>
        </w:rPr>
        <w:t>center</w:t>
      </w:r>
      <w:r>
        <w:rPr>
          <w:color w:val="231F20"/>
        </w:rPr>
        <w:t xml:space="preserve"> </w:t>
      </w:r>
      <w:r>
        <w:rPr>
          <w:rFonts w:ascii="Times New Roman;serif" w:hAnsi="Times New Roman;serif"/>
          <w:b w:val="false"/>
          <w:color w:val="231F20"/>
          <w:sz w:val="20"/>
        </w:rPr>
        <w:t>infrastructure suppliers,</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platform</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designed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meet our</w:t>
      </w:r>
      <w:r>
        <w:rPr>
          <w:color w:val="231F20"/>
        </w:rPr>
        <w:t xml:space="preserve"> </w:t>
      </w:r>
      <w:r>
        <w:rPr>
          <w:rFonts w:ascii="Times New Roman;serif" w:hAnsi="Times New Roman;serif"/>
          <w:b w:val="false"/>
          <w:color w:val="231F20"/>
          <w:sz w:val="20"/>
        </w:rPr>
        <w:t>customers’</w:t>
      </w:r>
      <w:r>
        <w:rPr>
          <w:color w:val="231F20"/>
        </w:rPr>
        <w:t xml:space="preserve"> </w:t>
      </w:r>
      <w:r>
        <w:rPr>
          <w:rFonts w:ascii="Times New Roman;serif" w:hAnsi="Times New Roman;serif"/>
          <w:b w:val="false"/>
          <w:color w:val="231F20"/>
          <w:sz w:val="20"/>
        </w:rPr>
        <w:t>unique</w:t>
      </w:r>
      <w:r>
        <w:rPr>
          <w:color w:val="231F20"/>
        </w:rPr>
        <w:t xml:space="preserve"> </w:t>
      </w:r>
      <w:r>
        <w:rPr>
          <w:rFonts w:ascii="Times New Roman;serif" w:hAnsi="Times New Roman;serif"/>
          <w:b w:val="false"/>
          <w:color w:val="231F20"/>
          <w:sz w:val="20"/>
        </w:rPr>
        <w:t>cloud</w:t>
      </w:r>
      <w:r>
        <w:rPr>
          <w:color w:val="231F20"/>
        </w:rPr>
        <w:t xml:space="preserve"> </w:t>
      </w:r>
      <w:r>
        <w:rPr>
          <w:rFonts w:ascii="Times New Roman;serif" w:hAnsi="Times New Roman;serif"/>
          <w:b w:val="false"/>
          <w:color w:val="231F20"/>
          <w:sz w:val="20"/>
        </w:rPr>
        <w:t>scale</w:t>
      </w:r>
      <w:r>
        <w:rPr>
          <w:color w:val="231F20"/>
        </w:rPr>
        <w:t xml:space="preserve"> </w:t>
      </w:r>
      <w:r>
        <w:rPr>
          <w:rFonts w:ascii="Times New Roman;serif" w:hAnsi="Times New Roman;serif"/>
          <w:b w:val="false"/>
          <w:color w:val="231F20"/>
          <w:sz w:val="20"/>
        </w:rPr>
        <w:t>requirements.</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COSMOS software</w:t>
      </w:r>
      <w:r>
        <w:rPr>
          <w:color w:val="231F20"/>
        </w:rPr>
        <w:t xml:space="preserve"> </w:t>
      </w:r>
      <w:r>
        <w:rPr>
          <w:rFonts w:ascii="Times New Roman;serif" w:hAnsi="Times New Roman;serif"/>
          <w:b w:val="false"/>
          <w:color w:val="231F20"/>
          <w:sz w:val="20"/>
        </w:rPr>
        <w:t>suite</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foundational</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Intelligent Connectivity</w:t>
      </w:r>
      <w:r>
        <w:rPr>
          <w:color w:val="231F20"/>
        </w:rPr>
        <w:t xml:space="preserve"> </w:t>
      </w:r>
      <w:r>
        <w:rPr>
          <w:rFonts w:ascii="Times New Roman;serif" w:hAnsi="Times New Roman;serif"/>
          <w:b w:val="false"/>
          <w:color w:val="231F20"/>
          <w:sz w:val="20"/>
        </w:rPr>
        <w:t>Platform</w:t>
      </w:r>
      <w:r>
        <w:rPr>
          <w:color w:val="231F20"/>
        </w:rPr>
        <w:t xml:space="preserve"> </w:t>
      </w:r>
      <w:r>
        <w:rPr>
          <w:rFonts w:ascii="Times New Roman;serif" w:hAnsi="Times New Roman;serif"/>
          <w:b w:val="false"/>
          <w:color w:val="231F20"/>
          <w:sz w:val="20"/>
        </w:rPr>
        <w:t>and is</w:t>
      </w:r>
      <w:r>
        <w:rPr>
          <w:color w:val="231F20"/>
        </w:rPr>
        <w:t xml:space="preserve"> </w:t>
      </w:r>
      <w:r>
        <w:rPr>
          <w:rFonts w:ascii="Times New Roman;serif" w:hAnsi="Times New Roman;serif"/>
          <w:b w:val="false"/>
          <w:color w:val="231F20"/>
          <w:sz w:val="20"/>
        </w:rPr>
        <w:t>designed</w:t>
      </w:r>
      <w:r>
        <w:rPr>
          <w:color w:val="231F20"/>
        </w:rPr>
        <w:t xml:space="preserve"> </w:t>
      </w:r>
      <w:r>
        <w:rPr>
          <w:rFonts w:ascii="Times New Roman;serif" w:hAnsi="Times New Roman;serif"/>
          <w:b w:val="false"/>
          <w:color w:val="231F20"/>
          <w:sz w:val="20"/>
        </w:rPr>
        <w:t>to enable</w:t>
      </w:r>
      <w:r>
        <w:rPr>
          <w:color w:val="231F20"/>
        </w:rPr>
        <w:t xml:space="preserve"> </w:t>
      </w:r>
      <w:r>
        <w:rPr>
          <w:rFonts w:ascii="Times New Roman;serif" w:hAnsi="Times New Roman;serif"/>
          <w:b w:val="false"/>
          <w:color w:val="231F20"/>
          <w:sz w:val="20"/>
        </w:rPr>
        <w:t>our customers</w:t>
      </w:r>
      <w:r>
        <w:rPr>
          <w:color w:val="231F20"/>
        </w:rPr>
        <w:t xml:space="preserve"> </w:t>
      </w:r>
      <w:r>
        <w:rPr>
          <w:rFonts w:ascii="Times New Roman;serif" w:hAnsi="Times New Roman;serif"/>
          <w:b w:val="false"/>
          <w:color w:val="231F20"/>
          <w:sz w:val="20"/>
        </w:rPr>
        <w:t>to seamlessly</w:t>
      </w:r>
      <w:r>
        <w:rPr>
          <w:color w:val="231F20"/>
        </w:rPr>
        <w:t xml:space="preserve"> </w:t>
      </w:r>
      <w:r>
        <w:rPr>
          <w:rFonts w:ascii="Times New Roman;serif" w:hAnsi="Times New Roman;serif"/>
          <w:b w:val="false"/>
          <w:color w:val="231F20"/>
          <w:sz w:val="20"/>
        </w:rPr>
        <w:t>configure,</w:t>
      </w:r>
      <w:r>
        <w:rPr>
          <w:color w:val="231F20"/>
        </w:rPr>
        <w:t xml:space="preserve"> </w:t>
      </w:r>
      <w:r>
        <w:rPr>
          <w:rFonts w:ascii="Times New Roman;serif" w:hAnsi="Times New Roman;serif"/>
          <w:b w:val="false"/>
          <w:color w:val="231F20"/>
          <w:sz w:val="20"/>
        </w:rPr>
        <w:t>manage,</w:t>
      </w:r>
      <w:r>
        <w:rPr>
          <w:color w:val="231F20"/>
        </w:rPr>
        <w:t xml:space="preserve"> </w:t>
      </w:r>
      <w:r>
        <w:rPr>
          <w:rFonts w:ascii="Times New Roman;serif" w:hAnsi="Times New Roman;serif"/>
          <w:b w:val="false"/>
          <w:color w:val="231F20"/>
          <w:sz w:val="20"/>
        </w:rPr>
        <w:t>monitor, optimize,</w:t>
      </w:r>
      <w:r>
        <w:rPr>
          <w:color w:val="231F20"/>
        </w:rPr>
        <w:t xml:space="preserve"> </w:t>
      </w:r>
      <w:r>
        <w:rPr>
          <w:rFonts w:ascii="Times New Roman;serif" w:hAnsi="Times New Roman;serif"/>
          <w:b w:val="false"/>
          <w:color w:val="231F20"/>
          <w:sz w:val="20"/>
        </w:rPr>
        <w:t>troubleshoot,</w:t>
      </w:r>
      <w:r>
        <w:rPr>
          <w:color w:val="231F20"/>
        </w:rPr>
        <w:t xml:space="preserve"> </w:t>
      </w:r>
      <w:r>
        <w:rPr>
          <w:rFonts w:ascii="Times New Roman;serif" w:hAnsi="Times New Roman;serif"/>
          <w:b w:val="false"/>
          <w:color w:val="231F20"/>
          <w:sz w:val="20"/>
        </w:rPr>
        <w:t>and customize</w:t>
      </w:r>
      <w:r>
        <w:rPr>
          <w:color w:val="231F20"/>
        </w:rPr>
        <w:t xml:space="preserve"> </w:t>
      </w:r>
      <w:r>
        <w:rPr>
          <w:rFonts w:ascii="Times New Roman;serif" w:hAnsi="Times New Roman;serif"/>
          <w:b w:val="false"/>
          <w:color w:val="231F20"/>
          <w:sz w:val="20"/>
        </w:rPr>
        <w:t>functions</w:t>
      </w:r>
      <w:r>
        <w:rPr>
          <w:color w:val="231F20"/>
        </w:rPr>
        <w:t xml:space="preserve"> </w:t>
      </w:r>
      <w:r>
        <w:rPr>
          <w:rFonts w:ascii="Times New Roman;serif" w:hAnsi="Times New Roman;serif"/>
          <w:b w:val="false"/>
          <w:color w:val="231F20"/>
          <w:sz w:val="20"/>
        </w:rPr>
        <w:t>in our IC, board,</w:t>
      </w:r>
      <w:r>
        <w:rPr>
          <w:color w:val="231F20"/>
        </w:rPr>
        <w:t xml:space="preserve"> </w:t>
      </w:r>
      <w:r>
        <w:rPr>
          <w:rFonts w:ascii="Times New Roman;serif" w:hAnsi="Times New Roman;serif"/>
          <w:b w:val="false"/>
          <w:color w:val="231F20"/>
          <w:sz w:val="20"/>
        </w:rPr>
        <w:t>and module</w:t>
      </w:r>
      <w:r>
        <w:rPr>
          <w:color w:val="231F20"/>
        </w:rPr>
        <w:t xml:space="preserve"> </w:t>
      </w:r>
      <w:r>
        <w:rPr>
          <w:rFonts w:ascii="Times New Roman;serif" w:hAnsi="Times New Roman;serif"/>
          <w:b w:val="false"/>
          <w:color w:val="231F20"/>
          <w:sz w:val="20"/>
        </w:rPr>
        <w:t>products.</w:t>
      </w:r>
    </w:p>
    <w:p>
      <w:pPr>
        <w:pStyle w:val="TextBody"/>
        <w:bidi w:val="0"/>
        <w:spacing w:lineRule="auto" w:line="288" w:before="240" w:after="283"/>
        <w:ind w:left="0" w:right="0" w:firstLine="576"/>
        <w:jc w:val="both"/>
        <w:rPr/>
      </w:pPr>
      <w:r>
        <w:rPr>
          <w:rFonts w:ascii="Times New Roman;serif" w:hAnsi="Times New Roman;serif"/>
          <w:b w:val="false"/>
          <w:color w:val="231F20"/>
          <w:sz w:val="20"/>
        </w:rPr>
        <w:t>Today,</w:t>
      </w:r>
      <w:r>
        <w:rPr>
          <w:color w:val="231F20"/>
        </w:rPr>
        <w:t xml:space="preserve"> </w:t>
      </w:r>
      <w:r>
        <w:rPr>
          <w:rFonts w:ascii="Times New Roman;serif" w:hAnsi="Times New Roman;serif"/>
          <w:b w:val="false"/>
          <w:color w:val="231F20"/>
          <w:sz w:val="20"/>
        </w:rPr>
        <w:t>our connectivity</w:t>
      </w:r>
      <w:r>
        <w:rPr>
          <w:color w:val="231F20"/>
        </w:rPr>
        <w:t xml:space="preserve"> </w:t>
      </w:r>
      <w:r>
        <w:rPr>
          <w:rFonts w:ascii="Times New Roman;serif" w:hAnsi="Times New Roman;serif"/>
          <w:b w:val="false"/>
          <w:color w:val="231F20"/>
          <w:sz w:val="20"/>
        </w:rPr>
        <w:t>solutions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heart</w:t>
      </w:r>
      <w:r>
        <w:rPr>
          <w:color w:val="231F20"/>
        </w:rPr>
        <w:t xml:space="preserve"> </w:t>
      </w:r>
      <w:r>
        <w:rPr>
          <w:rFonts w:ascii="Times New Roman;serif" w:hAnsi="Times New Roman;serif"/>
          <w:b w:val="false"/>
          <w:color w:val="231F20"/>
          <w:sz w:val="20"/>
        </w:rPr>
        <w:t>of major</w:t>
      </w:r>
      <w:r>
        <w:rPr>
          <w:color w:val="231F20"/>
        </w:rPr>
        <w:t xml:space="preserve"> </w:t>
      </w:r>
      <w:r>
        <w:rPr>
          <w:rFonts w:ascii="Times New Roman;serif" w:hAnsi="Times New Roman;serif"/>
          <w:b w:val="false"/>
          <w:color w:val="231F20"/>
          <w:sz w:val="20"/>
        </w:rPr>
        <w:t>AI platforms</w:t>
      </w:r>
      <w:r>
        <w:rPr>
          <w:color w:val="231F20"/>
        </w:rPr>
        <w:t xml:space="preserve"> </w:t>
      </w:r>
      <w:r>
        <w:rPr>
          <w:rFonts w:ascii="Times New Roman;serif" w:hAnsi="Times New Roman;serif"/>
          <w:b w:val="false"/>
          <w:color w:val="231F20"/>
          <w:sz w:val="20"/>
        </w:rPr>
        <w:t>deployed</w:t>
      </w:r>
      <w:r>
        <w:rPr>
          <w:color w:val="231F20"/>
        </w:rPr>
        <w:t xml:space="preserve"> </w:t>
      </w:r>
      <w:r>
        <w:rPr>
          <w:rFonts w:ascii="Times New Roman;serif" w:hAnsi="Times New Roman;serif"/>
          <w:b w:val="false"/>
          <w:color w:val="231F20"/>
          <w:sz w:val="20"/>
        </w:rPr>
        <w:t>worldwide</w:t>
      </w:r>
      <w:r>
        <w:rPr>
          <w:color w:val="231F20"/>
        </w:rPr>
        <w:t xml:space="preserve"> </w:t>
      </w:r>
      <w:r>
        <w:rPr>
          <w:rFonts w:ascii="Times New Roman;serif" w:hAnsi="Times New Roman;serif"/>
          <w:b w:val="false"/>
          <w:color w:val="231F20"/>
          <w:sz w:val="20"/>
        </w:rPr>
        <w:t>featuring</w:t>
      </w:r>
      <w:r>
        <w:rPr>
          <w:color w:val="231F20"/>
        </w:rPr>
        <w:t xml:space="preserve"> </w:t>
      </w:r>
      <w:r>
        <w:rPr>
          <w:rFonts w:ascii="Times New Roman;serif" w:hAnsi="Times New Roman;serif"/>
          <w:b w:val="false"/>
          <w:color w:val="231F20"/>
          <w:sz w:val="20"/>
        </w:rPr>
        <w:t>both commercially</w:t>
      </w:r>
      <w:r>
        <w:rPr>
          <w:color w:val="231F20"/>
        </w:rPr>
        <w:t xml:space="preserve"> </w:t>
      </w:r>
      <w:r>
        <w:rPr>
          <w:rFonts w:ascii="Times New Roman;serif" w:hAnsi="Times New Roman;serif"/>
          <w:b w:val="false"/>
          <w:color w:val="231F20"/>
          <w:sz w:val="20"/>
        </w:rPr>
        <w:t>available</w:t>
      </w:r>
      <w:r>
        <w:rPr>
          <w:color w:val="231F20"/>
        </w:rPr>
        <w:t xml:space="preserve"> </w:t>
      </w:r>
      <w:r>
        <w:rPr>
          <w:rFonts w:ascii="Times New Roman;serif" w:hAnsi="Times New Roman;serif"/>
          <w:b w:val="false"/>
          <w:color w:val="231F20"/>
          <w:sz w:val="20"/>
        </w:rPr>
        <w:t>Graphic Processing Units (“GPUs”) and</w:t>
      </w:r>
      <w:r>
        <w:rPr>
          <w:color w:val="231F20"/>
        </w:rPr>
        <w:t xml:space="preserve"> </w:t>
      </w:r>
      <w:r>
        <w:rPr>
          <w:rFonts w:ascii="Times New Roman;serif" w:hAnsi="Times New Roman;serif"/>
          <w:b w:val="false"/>
          <w:color w:val="231F20"/>
          <w:sz w:val="20"/>
        </w:rPr>
        <w:t>proprietary</w:t>
      </w:r>
      <w:r>
        <w:rPr>
          <w:color w:val="231F20"/>
        </w:rPr>
        <w:t xml:space="preserve"> </w:t>
      </w:r>
      <w:r>
        <w:rPr>
          <w:rFonts w:ascii="Times New Roman;serif" w:hAnsi="Times New Roman;serif"/>
          <w:b w:val="false"/>
          <w:color w:val="231F20"/>
          <w:sz w:val="20"/>
        </w:rPr>
        <w:t>AI</w:t>
      </w:r>
      <w:r>
        <w:rPr>
          <w:color w:val="231F20"/>
        </w:rPr>
        <w:t xml:space="preserve"> </w:t>
      </w:r>
      <w:r>
        <w:rPr>
          <w:rFonts w:ascii="Times New Roman;serif" w:hAnsi="Times New Roman;serif"/>
          <w:b w:val="false"/>
          <w:color w:val="231F20"/>
          <w:sz w:val="20"/>
        </w:rPr>
        <w:t>accelerators.</w:t>
      </w:r>
      <w:r>
        <w:rPr>
          <w:color w:val="231F20"/>
        </w:rPr>
        <w:t xml:space="preserve"> </w:t>
      </w:r>
      <w:r>
        <w:rPr>
          <w:rFonts w:ascii="Times New Roman;serif" w:hAnsi="Times New Roman;serif"/>
          <w:b w:val="false"/>
          <w:color w:val="231F20"/>
          <w:sz w:val="20"/>
        </w:rPr>
        <w:t>We offer our customers</w:t>
      </w:r>
      <w:r>
        <w:rPr>
          <w:color w:val="231F20"/>
        </w:rPr>
        <w:t xml:space="preserve"> </w:t>
      </w:r>
      <w:r>
        <w:rPr>
          <w:rFonts w:ascii="Times New Roman;serif" w:hAnsi="Times New Roman;serif"/>
          <w:b w:val="false"/>
          <w:color w:val="231F20"/>
          <w:sz w:val="20"/>
        </w:rPr>
        <w:t>four product</w:t>
      </w:r>
      <w:r>
        <w:rPr>
          <w:color w:val="231F20"/>
        </w:rPr>
        <w:t xml:space="preserve"> </w:t>
      </w:r>
      <w:r>
        <w:rPr>
          <w:rFonts w:ascii="Times New Roman;serif" w:hAnsi="Times New Roman;serif"/>
          <w:b w:val="false"/>
          <w:color w:val="231F20"/>
          <w:sz w:val="20"/>
        </w:rPr>
        <w:t>families</w:t>
      </w:r>
      <w:r>
        <w:rPr>
          <w:color w:val="231F20"/>
        </w:rPr>
        <w:t xml:space="preserve"> </w:t>
      </w:r>
      <w:r>
        <w:rPr>
          <w:rFonts w:ascii="Times New Roman;serif" w:hAnsi="Times New Roman;serif"/>
          <w:b w:val="false"/>
          <w:color w:val="231F20"/>
          <w:sz w:val="20"/>
        </w:rPr>
        <w:t>across</w:t>
      </w:r>
      <w:r>
        <w:rPr>
          <w:color w:val="231F20"/>
        </w:rPr>
        <w:t xml:space="preserve"> </w:t>
      </w:r>
      <w:r>
        <w:rPr>
          <w:rFonts w:ascii="Times New Roman;serif" w:hAnsi="Times New Roman;serif"/>
          <w:b w:val="false"/>
          <w:color w:val="231F20"/>
          <w:sz w:val="20"/>
        </w:rPr>
        <w:t>multiple</w:t>
      </w:r>
      <w:r>
        <w:rPr>
          <w:color w:val="231F20"/>
        </w:rPr>
        <w:t xml:space="preserve"> </w:t>
      </w:r>
      <w:r>
        <w:rPr>
          <w:rFonts w:ascii="Times New Roman;serif" w:hAnsi="Times New Roman;serif"/>
          <w:b w:val="false"/>
          <w:color w:val="231F20"/>
          <w:sz w:val="20"/>
        </w:rPr>
        <w:t>form</w:t>
      </w:r>
      <w:r>
        <w:rPr>
          <w:color w:val="231F20"/>
        </w:rPr>
        <w:t xml:space="preserve"> </w:t>
      </w:r>
      <w:r>
        <w:rPr>
          <w:rFonts w:ascii="Times New Roman;serif" w:hAnsi="Times New Roman;serif"/>
          <w:b w:val="false"/>
          <w:color w:val="231F20"/>
          <w:sz w:val="20"/>
        </w:rPr>
        <w:t>factors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ICs, boards,</w:t>
      </w:r>
      <w:r>
        <w:rPr>
          <w:color w:val="231F20"/>
        </w:rPr>
        <w:t xml:space="preserve"> </w:t>
      </w:r>
      <w:r>
        <w:rPr>
          <w:rFonts w:ascii="Times New Roman;serif" w:hAnsi="Times New Roman;serif"/>
          <w:b w:val="false"/>
          <w:color w:val="231F20"/>
          <w:sz w:val="20"/>
        </w:rPr>
        <w:t>and modules, shipping millions of devices across leading hyperscalers.</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which include</w:t>
      </w:r>
      <w:r>
        <w:rPr>
          <w:color w:val="231F20"/>
        </w:rPr>
        <w:t xml:space="preserve"> </w:t>
      </w:r>
      <w:r>
        <w:rPr>
          <w:rFonts w:ascii="Times New Roman;serif" w:hAnsi="Times New Roman;serif"/>
          <w:b w:val="false"/>
          <w:color w:val="231F20"/>
          <w:sz w:val="20"/>
        </w:rPr>
        <w:t>Aries PCIe</w:t>
      </w:r>
      <w:r>
        <w:rPr>
          <w:rFonts w:ascii="Times New Roman;serif" w:hAnsi="Times New Roman;serif"/>
          <w:b w:val="false"/>
          <w:color w:val="231F20"/>
          <w:sz w:val="13"/>
        </w:rPr>
        <w:t>®</w:t>
      </w:r>
      <w:r>
        <w:rPr>
          <w:rFonts w:ascii="Times New Roman;serif" w:hAnsi="Times New Roman;serif"/>
          <w:b w:val="false"/>
          <w:color w:val="231F20"/>
          <w:sz w:val="20"/>
        </w:rPr>
        <w:t>/CXL</w:t>
      </w:r>
      <w:r>
        <w:rPr>
          <w:rFonts w:ascii="Times New Roman;serif" w:hAnsi="Times New Roman;serif"/>
          <w:b w:val="false"/>
          <w:color w:val="231F20"/>
          <w:sz w:val="13"/>
        </w:rPr>
        <w:t xml:space="preserve">® </w:t>
      </w:r>
      <w:r>
        <w:rPr>
          <w:rFonts w:ascii="Times New Roman;serif" w:hAnsi="Times New Roman;serif"/>
          <w:b w:val="false"/>
          <w:color w:val="231F20"/>
          <w:sz w:val="20"/>
        </w:rPr>
        <w:t>Smart</w:t>
      </w:r>
      <w:r>
        <w:rPr>
          <w:color w:val="231F20"/>
        </w:rPr>
        <w:t xml:space="preserve"> </w:t>
      </w:r>
      <w:r>
        <w:rPr>
          <w:rFonts w:ascii="Times New Roman;serif" w:hAnsi="Times New Roman;serif"/>
          <w:b w:val="false"/>
          <w:color w:val="231F20"/>
          <w:sz w:val="20"/>
        </w:rPr>
        <w:t xml:space="preserve">DSP Retimers, </w:t>
      </w:r>
      <w:r>
        <w:rPr>
          <w:rFonts w:ascii="Times New Roman;serif" w:hAnsi="Times New Roman;serif"/>
          <w:b w:val="false"/>
          <w:color w:val="000000"/>
          <w:sz w:val="20"/>
        </w:rPr>
        <w:t xml:space="preserve">Aries PCIe®/CXL® Smart Cable Modules™, </w:t>
      </w:r>
      <w:r>
        <w:rPr>
          <w:rFonts w:ascii="Times New Roman;serif" w:hAnsi="Times New Roman;serif"/>
          <w:b w:val="false"/>
          <w:color w:val="231F20"/>
          <w:sz w:val="20"/>
        </w:rPr>
        <w:t>Taurus</w:t>
      </w:r>
      <w:r>
        <w:rPr>
          <w:color w:val="231F20"/>
        </w:rPr>
        <w:t xml:space="preserve"> </w:t>
      </w:r>
      <w:r>
        <w:rPr>
          <w:rFonts w:ascii="Times New Roman;serif" w:hAnsi="Times New Roman;serif"/>
          <w:b w:val="false"/>
          <w:color w:val="231F20"/>
          <w:sz w:val="20"/>
        </w:rPr>
        <w:t>Ethernet</w:t>
      </w:r>
      <w:r>
        <w:rPr>
          <w:color w:val="231F20"/>
        </w:rPr>
        <w:t xml:space="preserve"> </w:t>
      </w:r>
      <w:r>
        <w:rPr>
          <w:rFonts w:ascii="Times New Roman;serif" w:hAnsi="Times New Roman;serif"/>
          <w:b w:val="false"/>
          <w:color w:val="231F20"/>
          <w:sz w:val="20"/>
        </w:rPr>
        <w:t>Smart</w:t>
      </w:r>
      <w:r>
        <w:rPr>
          <w:color w:val="231F20"/>
        </w:rPr>
        <w:t xml:space="preserve"> </w:t>
      </w:r>
      <w:r>
        <w:rPr>
          <w:rFonts w:ascii="Times New Roman;serif" w:hAnsi="Times New Roman;serif"/>
          <w:b w:val="false"/>
          <w:color w:val="231F20"/>
          <w:sz w:val="20"/>
        </w:rPr>
        <w:t>Cable</w:t>
      </w:r>
      <w:r>
        <w:rPr>
          <w:color w:val="231F20"/>
        </w:rPr>
        <w:t xml:space="preserve"> </w:t>
      </w:r>
      <w:r>
        <w:rPr>
          <w:rFonts w:ascii="Times New Roman;serif" w:hAnsi="Times New Roman;serif"/>
          <w:b w:val="false"/>
          <w:color w:val="231F20"/>
          <w:sz w:val="20"/>
        </w:rPr>
        <w:t>Modules</w:t>
      </w:r>
      <w:r>
        <w:rPr>
          <w:color w:val="231F20"/>
        </w:rPr>
        <w:t>™</w:t>
      </w:r>
      <w:r>
        <w:rPr>
          <w:rFonts w:ascii="Times New Roman;serif" w:hAnsi="Times New Roman;serif"/>
          <w:b w:val="false"/>
          <w:color w:val="231F20"/>
          <w:sz w:val="20"/>
        </w:rPr>
        <w:t>, Leo</w:t>
      </w:r>
      <w:r>
        <w:rPr>
          <w:color w:val="231F20"/>
        </w:rPr>
        <w:t xml:space="preserve"> </w:t>
      </w:r>
      <w:r>
        <w:rPr>
          <w:rFonts w:ascii="Times New Roman;serif" w:hAnsi="Times New Roman;serif"/>
          <w:b w:val="false"/>
          <w:color w:val="231F20"/>
          <w:sz w:val="20"/>
        </w:rPr>
        <w:t>CXL Memory Connectivity</w:t>
      </w:r>
      <w:r>
        <w:rPr>
          <w:color w:val="231F20"/>
        </w:rPr>
        <w:t xml:space="preserve"> </w:t>
      </w:r>
      <w:r>
        <w:rPr>
          <w:rFonts w:ascii="Times New Roman;serif" w:hAnsi="Times New Roman;serif"/>
          <w:b w:val="false"/>
          <w:color w:val="231F20"/>
          <w:sz w:val="20"/>
        </w:rPr>
        <w:t>Controllers, and Scorpio Smart Fabric Switches,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built</w:t>
      </w:r>
      <w:r>
        <w:rPr>
          <w:color w:val="231F20"/>
        </w:rPr>
        <w:t xml:space="preserve"> </w:t>
      </w:r>
      <w:r>
        <w:rPr>
          <w:rFonts w:ascii="Times New Roman;serif" w:hAnsi="Times New Roman;serif"/>
          <w:b w:val="false"/>
          <w:color w:val="231F20"/>
          <w:sz w:val="20"/>
        </w:rPr>
        <w:t>upon industry</w:t>
      </w:r>
      <w:r>
        <w:rPr>
          <w:color w:val="231F20"/>
        </w:rPr>
        <w:t xml:space="preserve"> </w:t>
      </w:r>
      <w:r>
        <w:rPr>
          <w:rFonts w:ascii="Times New Roman;serif" w:hAnsi="Times New Roman;serif"/>
          <w:b w:val="false"/>
          <w:color w:val="231F20"/>
          <w:sz w:val="20"/>
        </w:rPr>
        <w:t>standard</w:t>
      </w:r>
      <w:r>
        <w:rPr>
          <w:color w:val="231F20"/>
        </w:rPr>
        <w:t xml:space="preserve"> </w:t>
      </w:r>
      <w:r>
        <w:rPr>
          <w:rFonts w:ascii="Times New Roman;serif" w:hAnsi="Times New Roman;serif"/>
          <w:b w:val="false"/>
          <w:color w:val="231F20"/>
          <w:sz w:val="20"/>
        </w:rPr>
        <w:t>connectivity</w:t>
      </w:r>
      <w:r>
        <w:rPr>
          <w:color w:val="231F20"/>
        </w:rPr>
        <w:t xml:space="preserve"> </w:t>
      </w:r>
      <w:r>
        <w:rPr>
          <w:rFonts w:ascii="Times New Roman;serif" w:hAnsi="Times New Roman;serif"/>
          <w:b w:val="false"/>
          <w:color w:val="231F20"/>
          <w:sz w:val="20"/>
        </w:rPr>
        <w:t>protocols</w:t>
      </w:r>
      <w:r>
        <w:rPr>
          <w:color w:val="231F20"/>
        </w:rPr>
        <w:t xml:space="preserve"> </w:t>
      </w:r>
      <w:r>
        <w:rPr>
          <w:rFonts w:ascii="Times New Roman;serif" w:hAnsi="Times New Roman;serif"/>
          <w:b w:val="false"/>
          <w:color w:val="231F20"/>
          <w:sz w:val="20"/>
        </w:rPr>
        <w:t>such as Peripheral Component Interconnect Express (“PCIe”), Ethernet,</w:t>
      </w:r>
      <w:r>
        <w:rPr>
          <w:color w:val="231F20"/>
        </w:rPr>
        <w:t xml:space="preserve"> </w:t>
      </w:r>
      <w:r>
        <w:rPr>
          <w:rFonts w:ascii="Times New Roman;serif" w:hAnsi="Times New Roman;serif"/>
          <w:b w:val="false"/>
          <w:color w:val="231F20"/>
          <w:sz w:val="20"/>
        </w:rPr>
        <w:t>and Compute Express Link (“CXL”), to address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growing demand</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purpose-built</w:t>
      </w:r>
      <w:r>
        <w:rPr>
          <w:color w:val="231F20"/>
        </w:rPr>
        <w:t xml:space="preserve"> </w:t>
      </w:r>
      <w:r>
        <w:rPr>
          <w:rFonts w:ascii="Times New Roman;serif" w:hAnsi="Times New Roman;serif"/>
          <w:b w:val="false"/>
          <w:color w:val="231F20"/>
          <w:sz w:val="20"/>
        </w:rPr>
        <w:t>connectivity</w:t>
      </w:r>
      <w:r>
        <w:rPr>
          <w:color w:val="231F20"/>
        </w:rPr>
        <w:t xml:space="preserve"> </w:t>
      </w:r>
      <w:r>
        <w:rPr>
          <w:rFonts w:ascii="Times New Roman;serif" w:hAnsi="Times New Roman;serif"/>
          <w:b w:val="false"/>
          <w:color w:val="231F20"/>
          <w:sz w:val="20"/>
        </w:rPr>
        <w:t>solutions</w:t>
      </w:r>
      <w:r>
        <w:rPr>
          <w:color w:val="231F20"/>
        </w:rPr>
        <w:t xml:space="preserve"> </w:t>
      </w:r>
      <w:r>
        <w:rPr>
          <w:rFonts w:ascii="Times New Roman;serif" w:hAnsi="Times New Roman;serif"/>
          <w:b w:val="false"/>
          <w:color w:val="231F20"/>
          <w:sz w:val="20"/>
        </w:rPr>
        <w:t>that solve critical</w:t>
      </w:r>
      <w:r>
        <w:rPr>
          <w:color w:val="231F20"/>
        </w:rPr>
        <w:t xml:space="preserve"> </w:t>
      </w:r>
      <w:r>
        <w:rPr>
          <w:rFonts w:ascii="Times New Roman;serif" w:hAnsi="Times New Roman;serif"/>
          <w:b w:val="false"/>
          <w:color w:val="231F20"/>
          <w:sz w:val="20"/>
        </w:rPr>
        <w:t>data,</w:t>
      </w:r>
      <w:r>
        <w:rPr>
          <w:color w:val="231F20"/>
        </w:rPr>
        <w:t xml:space="preserve"> </w:t>
      </w:r>
      <w:r>
        <w:rPr>
          <w:rFonts w:ascii="Times New Roman;serif" w:hAnsi="Times New Roman;serif"/>
          <w:b w:val="false"/>
          <w:color w:val="231F20"/>
          <w:sz w:val="20"/>
        </w:rPr>
        <w:t>network,</w:t>
      </w:r>
      <w:r>
        <w:rPr>
          <w:color w:val="231F20"/>
        </w:rPr>
        <w:t xml:space="preserve"> </w:t>
      </w:r>
      <w:r>
        <w:rPr>
          <w:rFonts w:ascii="Times New Roman;serif" w:hAnsi="Times New Roman;serif"/>
          <w:b w:val="false"/>
          <w:color w:val="231F20"/>
          <w:sz w:val="20"/>
        </w:rPr>
        <w:t>and memory</w:t>
      </w:r>
      <w:r>
        <w:rPr>
          <w:color w:val="231F20"/>
        </w:rPr>
        <w:t xml:space="preserve"> </w:t>
      </w:r>
      <w:r>
        <w:rPr>
          <w:rFonts w:ascii="Times New Roman;serif" w:hAnsi="Times New Roman;serif"/>
          <w:b w:val="false"/>
          <w:color w:val="231F20"/>
          <w:sz w:val="20"/>
        </w:rPr>
        <w:t>bottlenecks</w:t>
      </w:r>
      <w:r>
        <w:rPr>
          <w:color w:val="231F20"/>
        </w:rPr>
        <w:t xml:space="preserve"> </w:t>
      </w:r>
      <w:r>
        <w:rPr>
          <w:rFonts w:ascii="Times New Roman;serif" w:hAnsi="Times New Roman;serif"/>
          <w:b w:val="false"/>
          <w:color w:val="231F20"/>
          <w:sz w:val="20"/>
        </w:rPr>
        <w:t>inherent</w:t>
      </w:r>
      <w:r>
        <w:rPr>
          <w:color w:val="231F20"/>
        </w:rPr>
        <w:t xml:space="preserve"> </w:t>
      </w:r>
      <w:r>
        <w:rPr>
          <w:rFonts w:ascii="Times New Roman;serif" w:hAnsi="Times New Roman;serif"/>
          <w:b w:val="false"/>
          <w:color w:val="231F20"/>
          <w:sz w:val="20"/>
        </w:rPr>
        <w:t>in cloud</w:t>
      </w:r>
      <w:r>
        <w:rPr>
          <w:color w:val="231F20"/>
        </w:rPr>
        <w:t xml:space="preserve"> </w:t>
      </w:r>
      <w:r>
        <w:rPr>
          <w:rFonts w:ascii="Times New Roman;serif" w:hAnsi="Times New Roman;serif"/>
          <w:b w:val="false"/>
          <w:color w:val="231F20"/>
          <w:sz w:val="20"/>
        </w:rPr>
        <w:t>and AI infrastructure.</w:t>
      </w:r>
    </w:p>
    <w:p>
      <w:pPr>
        <w:pStyle w:val="TextBody"/>
        <w:bidi w:val="0"/>
        <w:spacing w:lineRule="auto" w:line="288" w:before="240" w:after="283"/>
        <w:ind w:left="0" w:right="0" w:firstLine="576"/>
        <w:jc w:val="both"/>
        <w:rPr/>
      </w:pPr>
      <w:r>
        <w:rPr>
          <w:rFonts w:ascii="Times New Roman;serif" w:hAnsi="Times New Roman;serif"/>
          <w:b w:val="false"/>
          <w:color w:val="231F20"/>
          <w:sz w:val="20"/>
        </w:rPr>
        <w:t>Since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inception,</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created</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commercialized</w:t>
      </w:r>
      <w:r>
        <w:rPr>
          <w:color w:val="231F20"/>
        </w:rPr>
        <w:t xml:space="preserve"> </w:t>
      </w:r>
      <w:r>
        <w:rPr>
          <w:rFonts w:ascii="Times New Roman;serif" w:hAnsi="Times New Roman;serif"/>
          <w:b w:val="false"/>
          <w:color w:val="231F20"/>
          <w:sz w:val="20"/>
        </w:rPr>
        <w:t>first-to-market</w:t>
      </w:r>
      <w:r>
        <w:rPr>
          <w:color w:val="231F20"/>
        </w:rPr>
        <w:t xml:space="preserve"> </w:t>
      </w:r>
      <w:r>
        <w:rPr>
          <w:rFonts w:ascii="Times New Roman;serif" w:hAnsi="Times New Roman;serif"/>
          <w:b w:val="false"/>
          <w:color w:val="231F20"/>
          <w:sz w:val="20"/>
        </w:rPr>
        <w:t>PCIe,</w:t>
      </w:r>
      <w:r>
        <w:rPr>
          <w:color w:val="231F20"/>
        </w:rPr>
        <w:t xml:space="preserve"> </w:t>
      </w:r>
      <w:r>
        <w:rPr>
          <w:rFonts w:ascii="Times New Roman;serif" w:hAnsi="Times New Roman;serif"/>
          <w:b w:val="false"/>
          <w:color w:val="231F20"/>
          <w:sz w:val="20"/>
        </w:rPr>
        <w:t>Ethernet,</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CXL products. We have become</w:t>
      </w:r>
      <w:r>
        <w:rPr>
          <w:color w:val="231F20"/>
        </w:rPr>
        <w:t xml:space="preserve"> </w:t>
      </w:r>
      <w:r>
        <w:rPr>
          <w:rFonts w:ascii="Times New Roman;serif" w:hAnsi="Times New Roman;serif"/>
          <w:b w:val="false"/>
          <w:color w:val="231F20"/>
          <w:sz w:val="20"/>
        </w:rPr>
        <w:t>a trusted</w:t>
      </w:r>
      <w:r>
        <w:rPr>
          <w:color w:val="231F20"/>
        </w:rPr>
        <w:t xml:space="preserve"> </w:t>
      </w:r>
      <w:r>
        <w:rPr>
          <w:rFonts w:ascii="Times New Roman;serif" w:hAnsi="Times New Roman;serif"/>
          <w:b w:val="false"/>
          <w:color w:val="231F20"/>
          <w:sz w:val="20"/>
        </w:rPr>
        <w:t>partner</w:t>
      </w:r>
      <w:r>
        <w:rPr>
          <w:color w:val="231F20"/>
        </w:rPr>
        <w:t xml:space="preserve"> </w:t>
      </w:r>
      <w:r>
        <w:rPr>
          <w:rFonts w:ascii="Times New Roman;serif" w:hAnsi="Times New Roman;serif"/>
          <w:b w:val="false"/>
          <w:color w:val="231F20"/>
          <w:sz w:val="20"/>
        </w:rPr>
        <w:t>and a proven</w:t>
      </w:r>
      <w:r>
        <w:rPr>
          <w:color w:val="231F20"/>
        </w:rPr>
        <w:t xml:space="preserve"> </w:t>
      </w:r>
      <w:r>
        <w:rPr>
          <w:rFonts w:ascii="Times New Roman;serif" w:hAnsi="Times New Roman;serif"/>
          <w:b w:val="false"/>
          <w:color w:val="231F20"/>
          <w:sz w:val="20"/>
        </w:rPr>
        <w:t>supplier</w:t>
      </w:r>
      <w:r>
        <w:rPr>
          <w:color w:val="231F20"/>
        </w:rPr>
        <w:t xml:space="preserve"> </w:t>
      </w:r>
      <w:r>
        <w:rPr>
          <w:rFonts w:ascii="Times New Roman;serif" w:hAnsi="Times New Roman;serif"/>
          <w:b w:val="false"/>
          <w:color w:val="231F20"/>
          <w:sz w:val="20"/>
        </w:rPr>
        <w:t>to our hyperscaler and</w:t>
      </w:r>
      <w:r>
        <w:rPr>
          <w:color w:val="231F20"/>
        </w:rPr>
        <w:t xml:space="preserve"> </w:t>
      </w:r>
      <w:r>
        <w:rPr>
          <w:rFonts w:ascii="Times New Roman;serif" w:hAnsi="Times New Roman;serif"/>
          <w:b w:val="false"/>
          <w:color w:val="231F20"/>
          <w:sz w:val="20"/>
        </w:rPr>
        <w:t>system</w:t>
      </w:r>
      <w:r>
        <w:rPr>
          <w:color w:val="231F20"/>
        </w:rPr>
        <w:t xml:space="preserve"> </w:t>
      </w:r>
      <w:r>
        <w:rPr>
          <w:rFonts w:ascii="Times New Roman;serif" w:hAnsi="Times New Roman;serif"/>
          <w:b w:val="false"/>
          <w:color w:val="231F20"/>
          <w:sz w:val="20"/>
        </w:rPr>
        <w:t>OEM</w:t>
      </w:r>
      <w:r>
        <w:rPr>
          <w:color w:val="231F20"/>
        </w:rPr>
        <w:t xml:space="preserve"> </w:t>
      </w:r>
      <w:r>
        <w:rPr>
          <w:rFonts w:ascii="Times New Roman;serif" w:hAnsi="Times New Roman;serif"/>
          <w:b w:val="false"/>
          <w:color w:val="231F20"/>
          <w:sz w:val="20"/>
        </w:rPr>
        <w:t>customers.</w:t>
      </w:r>
      <w:r>
        <w:rPr>
          <w:color w:val="231F20"/>
        </w:rPr>
        <w:t xml:space="preserve"> </w:t>
      </w:r>
      <w:r>
        <w:rPr>
          <w:rFonts w:ascii="Times New Roman;serif" w:hAnsi="Times New Roman;serif"/>
          <w:b w:val="false"/>
          <w:color w:val="231F20"/>
          <w:sz w:val="20"/>
        </w:rPr>
        <w:t>We have experienced</w:t>
      </w:r>
      <w:r>
        <w:rPr>
          <w:color w:val="231F20"/>
        </w:rPr>
        <w:t xml:space="preserve"> </w:t>
      </w:r>
      <w:r>
        <w:rPr>
          <w:rFonts w:ascii="Times New Roman;serif" w:hAnsi="Times New Roman;serif"/>
          <w:b w:val="false"/>
          <w:color w:val="231F20"/>
          <w:sz w:val="20"/>
        </w:rPr>
        <w:t>strong</w:t>
      </w:r>
      <w:r>
        <w:rPr>
          <w:color w:val="231F20"/>
        </w:rPr>
        <w:t xml:space="preserve"> </w:t>
      </w:r>
      <w:r>
        <w:rPr>
          <w:rFonts w:ascii="Times New Roman;serif" w:hAnsi="Times New Roman;serif"/>
          <w:b w:val="false"/>
          <w:color w:val="231F20"/>
          <w:sz w:val="20"/>
        </w:rPr>
        <w:t>growth since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commercial</w:t>
      </w:r>
      <w:r>
        <w:rPr>
          <w:color w:val="231F20"/>
        </w:rPr>
        <w:t xml:space="preserve"> </w:t>
      </w:r>
      <w:r>
        <w:rPr>
          <w:rFonts w:ascii="Times New Roman;serif" w:hAnsi="Times New Roman;serif"/>
          <w:b w:val="false"/>
          <w:color w:val="231F20"/>
          <w:sz w:val="20"/>
        </w:rPr>
        <w:t>launch</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Aries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2020.</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grew</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$34.8</w:t>
      </w:r>
      <w:r>
        <w:rPr>
          <w:color w:val="231F20"/>
        </w:rPr>
        <w:t xml:space="preserve"> </w:t>
      </w:r>
      <w:r>
        <w:rPr>
          <w:rFonts w:ascii="Times New Roman;serif" w:hAnsi="Times New Roman;serif"/>
          <w:b w:val="false"/>
          <w:color w:val="231F20"/>
          <w:sz w:val="20"/>
        </w:rPr>
        <w:t>million</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2021, $79.9</w:t>
      </w:r>
      <w:r>
        <w:rPr>
          <w:color w:val="231F20"/>
        </w:rPr>
        <w:t xml:space="preserve"> </w:t>
      </w:r>
      <w:r>
        <w:rPr>
          <w:rFonts w:ascii="Times New Roman;serif" w:hAnsi="Times New Roman;serif"/>
          <w:b w:val="false"/>
          <w:color w:val="231F20"/>
          <w:sz w:val="20"/>
        </w:rPr>
        <w:t>million</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2022,</w:t>
      </w:r>
      <w:r>
        <w:rPr>
          <w:color w:val="231F20"/>
        </w:rPr>
        <w:t xml:space="preserve"> </w:t>
      </w:r>
      <w:r>
        <w:rPr>
          <w:rFonts w:ascii="Times New Roman;serif" w:hAnsi="Times New Roman;serif"/>
          <w:b w:val="false"/>
          <w:color w:val="231F20"/>
          <w:sz w:val="20"/>
        </w:rPr>
        <w:t>$115.8 million</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 xml:space="preserve">2023, and $396.3 million in 2024, to $852.5 million in 2025. Our revenue was </w:t>
      </w:r>
      <w:r>
        <w:rPr>
          <w:rFonts w:ascii="Times New Roman;serif" w:hAnsi="Times New Roman;serif"/>
          <w:b w:val="false"/>
          <w:color w:val="000000"/>
          <w:sz w:val="20"/>
        </w:rPr>
        <w:t>$700.8 million</w:t>
      </w:r>
      <w:r>
        <w:rPr>
          <w:color w:val="000000"/>
        </w:rPr>
        <w:t xml:space="preserve"> </w:t>
      </w:r>
      <w:r>
        <w:rPr>
          <w:rFonts w:ascii="Times New Roman;serif" w:hAnsi="Times New Roman;serif"/>
          <w:b w:val="false"/>
          <w:color w:val="000000"/>
          <w:sz w:val="20"/>
        </w:rPr>
        <w:t xml:space="preserve">for the six months ended </w:t>
      </w:r>
      <w:r>
        <w:rPr>
          <w:rFonts w:ascii="Times New Roman;serif" w:hAnsi="Times New Roman;serif"/>
          <w:b w:val="false"/>
          <w:color w:val="231F20"/>
          <w:sz w:val="20"/>
        </w:rPr>
        <w:t xml:space="preserve">June 30, 2026, driven by a sizable increase in demand for our products. </w:t>
      </w:r>
    </w:p>
    <w:p>
      <w:pPr>
        <w:pStyle w:val="TextBody"/>
        <w:bidi w:val="0"/>
        <w:spacing w:before="0" w:after="240"/>
        <w:ind w:left="0" w:right="0" w:firstLine="57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 xml:space="preserve">Summary of Financial Highlights </w:t>
      </w:r>
    </w:p>
    <w:p>
      <w:pPr>
        <w:pStyle w:val="TextBody"/>
        <w:bidi w:val="0"/>
        <w:spacing w:before="0" w:after="0"/>
        <w:jc w:val="left"/>
        <w:rPr/>
      </w:pPr>
      <w:r>
        <w:rPr/>
      </w:r>
    </w:p>
    <w:p>
      <w:pPr>
        <w:pStyle w:val="TextBody"/>
        <w:bidi w:val="0"/>
        <w:spacing w:lineRule="auto" w:line="288" w:before="0" w:after="0"/>
        <w:ind w:left="0" w:right="0" w:firstLine="576"/>
        <w:jc w:val="both"/>
        <w:rPr/>
      </w:pPr>
      <w:r>
        <w:rPr>
          <w:rFonts w:ascii="Times New Roman;serif" w:hAnsi="Times New Roman;serif"/>
          <w:b w:val="false"/>
          <w:color w:val="000000"/>
          <w:sz w:val="20"/>
        </w:rPr>
        <w:t xml:space="preserve">Our revenue was $392.4 million for the three months ended </w:t>
      </w:r>
      <w:r>
        <w:rPr>
          <w:rFonts w:ascii="Times New Roman;serif" w:hAnsi="Times New Roman;serif"/>
          <w:b w:val="false"/>
          <w:color w:val="231F20"/>
          <w:sz w:val="20"/>
        </w:rPr>
        <w:t>June 30, 2026, c</w:t>
      </w:r>
      <w:r>
        <w:rPr>
          <w:rFonts w:ascii="Times New Roman;serif" w:hAnsi="Times New Roman;serif"/>
          <w:b w:val="false"/>
          <w:color w:val="000000"/>
          <w:sz w:val="20"/>
        </w:rPr>
        <w:t>ompared to</w:t>
      </w:r>
      <w:r>
        <w:rPr>
          <w:color w:val="231F20"/>
        </w:rPr>
        <w:t xml:space="preserve"> </w:t>
      </w:r>
      <w:r>
        <w:rPr>
          <w:rFonts w:ascii="Times New Roman;serif" w:hAnsi="Times New Roman;serif"/>
          <w:b w:val="false"/>
          <w:color w:val="000000"/>
          <w:sz w:val="20"/>
        </w:rPr>
        <w:t xml:space="preserve">$191.9 million for </w:t>
      </w:r>
      <w:r>
        <w:rPr>
          <w:rFonts w:ascii="Times New Roman;serif" w:hAnsi="Times New Roman;serif"/>
          <w:b w:val="false"/>
          <w:color w:val="231F20"/>
          <w:sz w:val="20"/>
        </w:rPr>
        <w:t xml:space="preserve">the same period in 2025, representing an increase of </w:t>
      </w:r>
      <w:r>
        <w:rPr>
          <w:rFonts w:ascii="Times New Roman;serif" w:hAnsi="Times New Roman;serif"/>
          <w:b w:val="false"/>
          <w:color w:val="000000"/>
          <w:sz w:val="20"/>
        </w:rPr>
        <w:t xml:space="preserve">104% year over year. </w:t>
      </w:r>
    </w:p>
    <w:p>
      <w:pPr>
        <w:pStyle w:val="TextBody"/>
        <w:bidi w:val="0"/>
        <w:spacing w:before="0" w:after="0"/>
        <w:ind w:left="0" w:right="0" w:firstLine="576"/>
        <w:jc w:val="both"/>
        <w:rPr/>
      </w:pPr>
      <w:r>
        <w:rPr/>
      </w:r>
    </w:p>
    <w:p>
      <w:pPr>
        <w:pStyle w:val="TextBody"/>
        <w:bidi w:val="0"/>
        <w:spacing w:lineRule="auto" w:line="288" w:before="0" w:after="0"/>
        <w:ind w:left="0" w:right="0" w:firstLine="576"/>
        <w:jc w:val="both"/>
        <w:rPr/>
      </w:pPr>
      <w:r>
        <w:rPr>
          <w:rFonts w:ascii="Times New Roman;serif" w:hAnsi="Times New Roman;serif"/>
          <w:b w:val="false"/>
          <w:color w:val="000000"/>
          <w:sz w:val="20"/>
        </w:rPr>
        <w:t>Our revenue was $700.8 million for the six months ended June 30, 2026</w:t>
      </w:r>
      <w:r>
        <w:rPr>
          <w:color w:val="231F20"/>
        </w:rPr>
        <w:t xml:space="preserve"> </w:t>
      </w:r>
      <w:r>
        <w:rPr>
          <w:rFonts w:ascii="Times New Roman;serif" w:hAnsi="Times New Roman;serif"/>
          <w:b w:val="false"/>
          <w:color w:val="231F20"/>
          <w:sz w:val="20"/>
        </w:rPr>
        <w:t>c</w:t>
      </w:r>
      <w:r>
        <w:rPr>
          <w:rFonts w:ascii="Times New Roman;serif" w:hAnsi="Times New Roman;serif"/>
          <w:b w:val="false"/>
          <w:color w:val="000000"/>
          <w:sz w:val="20"/>
        </w:rPr>
        <w:t>ompared to</w:t>
      </w:r>
      <w:r>
        <w:rPr>
          <w:color w:val="231F20"/>
        </w:rPr>
        <w:t xml:space="preserve"> </w:t>
      </w:r>
      <w:r>
        <w:rPr>
          <w:rFonts w:ascii="Times New Roman;serif" w:hAnsi="Times New Roman;serif"/>
          <w:b w:val="false"/>
          <w:color w:val="000000"/>
          <w:sz w:val="20"/>
        </w:rPr>
        <w:t xml:space="preserve">$351.4 million for </w:t>
      </w:r>
      <w:r>
        <w:rPr>
          <w:rFonts w:ascii="Times New Roman;serif" w:hAnsi="Times New Roman;serif"/>
          <w:b w:val="false"/>
          <w:color w:val="231F20"/>
          <w:sz w:val="20"/>
        </w:rPr>
        <w:t xml:space="preserve">the same period in 2025, representing an increase of </w:t>
      </w:r>
      <w:r>
        <w:rPr>
          <w:rFonts w:ascii="Times New Roman;serif" w:hAnsi="Times New Roman;serif"/>
          <w:b w:val="false"/>
          <w:color w:val="000000"/>
          <w:sz w:val="20"/>
        </w:rPr>
        <w:t>99%</w:t>
      </w:r>
      <w:r>
        <w:rPr>
          <w:color w:val="231F20"/>
        </w:rPr>
        <w:t xml:space="preserve"> </w:t>
      </w:r>
      <w:r>
        <w:rPr>
          <w:rFonts w:ascii="Times New Roman;serif" w:hAnsi="Times New Roman;serif"/>
          <w:b w:val="false"/>
          <w:color w:val="000000"/>
          <w:sz w:val="20"/>
        </w:rPr>
        <w:t xml:space="preserve">year over year. </w:t>
      </w:r>
    </w:p>
    <w:p>
      <w:pPr>
        <w:pStyle w:val="TextBody"/>
        <w:bidi w:val="0"/>
        <w:spacing w:lineRule="auto" w:line="288" w:before="240" w:after="283"/>
        <w:ind w:left="0" w:right="0" w:firstLine="576"/>
        <w:jc w:val="both"/>
        <w:rPr/>
      </w:pPr>
      <w:r>
        <w:rPr>
          <w:rFonts w:ascii="Times New Roman;serif" w:hAnsi="Times New Roman;serif"/>
          <w:b w:val="false"/>
          <w:color w:val="231F20"/>
          <w:sz w:val="20"/>
        </w:rPr>
        <w:t>Gross</w:t>
      </w:r>
      <w:r>
        <w:rPr>
          <w:color w:val="231F20"/>
        </w:rPr>
        <w:t xml:space="preserve"> </w:t>
      </w:r>
      <w:r>
        <w:rPr>
          <w:rFonts w:ascii="Times New Roman;serif" w:hAnsi="Times New Roman;serif"/>
          <w:b w:val="false"/>
          <w:color w:val="231F20"/>
          <w:sz w:val="20"/>
        </w:rPr>
        <w:t>margin</w:t>
      </w:r>
      <w:r>
        <w:rPr>
          <w:color w:val="231F20"/>
        </w:rPr>
        <w:t xml:space="preserve"> </w:t>
      </w:r>
      <w:r>
        <w:rPr>
          <w:rFonts w:ascii="Times New Roman;serif" w:hAnsi="Times New Roman;serif"/>
          <w:b w:val="false"/>
          <w:color w:val="000000"/>
          <w:sz w:val="20"/>
        </w:rPr>
        <w:t xml:space="preserve">decreased by 250 basis points (“bps”) </w:t>
      </w:r>
      <w:r>
        <w:rPr>
          <w:rFonts w:ascii="Times New Roman;serif" w:hAnsi="Times New Roman;serif"/>
          <w:b w:val="false"/>
          <w:color w:val="231F20"/>
          <w:sz w:val="20"/>
        </w:rPr>
        <w:t>to </w:t>
      </w:r>
      <w:r>
        <w:rPr>
          <w:rFonts w:ascii="Times New Roman;serif" w:hAnsi="Times New Roman;serif"/>
          <w:b w:val="false"/>
          <w:color w:val="000000"/>
          <w:sz w:val="20"/>
        </w:rPr>
        <w:t xml:space="preserve">73.3%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three months ended </w:t>
      </w:r>
      <w:r>
        <w:rPr>
          <w:rFonts w:ascii="Times New Roman;serif" w:hAnsi="Times New Roman;serif"/>
          <w:b w:val="false"/>
          <w:color w:val="000000"/>
          <w:sz w:val="20"/>
        </w:rPr>
        <w:t>June 30, 2026, compared to 75.8%</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 same period in 2025.</w:t>
      </w:r>
      <w:r>
        <w:rPr>
          <w:color w:val="231F20"/>
        </w:rPr>
        <w:t xml:space="preserve"> </w:t>
      </w:r>
    </w:p>
    <w:p>
      <w:pPr>
        <w:pStyle w:val="TextBody"/>
        <w:bidi w:val="0"/>
        <w:spacing w:lineRule="auto" w:line="288" w:before="240" w:after="283"/>
        <w:ind w:left="0" w:right="0" w:firstLine="576"/>
        <w:jc w:val="both"/>
        <w:rPr/>
      </w:pPr>
      <w:r>
        <w:rPr>
          <w:rFonts w:ascii="Times New Roman;serif" w:hAnsi="Times New Roman;serif"/>
          <w:b w:val="false"/>
          <w:color w:val="231F20"/>
          <w:sz w:val="20"/>
        </w:rPr>
        <w:t>Gross</w:t>
      </w:r>
      <w:r>
        <w:rPr>
          <w:color w:val="231F20"/>
        </w:rPr>
        <w:t xml:space="preserve"> </w:t>
      </w:r>
      <w:r>
        <w:rPr>
          <w:rFonts w:ascii="Times New Roman;serif" w:hAnsi="Times New Roman;serif"/>
          <w:b w:val="false"/>
          <w:color w:val="231F20"/>
          <w:sz w:val="20"/>
        </w:rPr>
        <w:t>margin</w:t>
      </w:r>
      <w:r>
        <w:rPr>
          <w:color w:val="231F20"/>
        </w:rPr>
        <w:t xml:space="preserve"> </w:t>
      </w:r>
      <w:r>
        <w:rPr>
          <w:rFonts w:ascii="Times New Roman;serif" w:hAnsi="Times New Roman;serif"/>
          <w:b w:val="false"/>
          <w:color w:val="000000"/>
          <w:sz w:val="20"/>
        </w:rPr>
        <w:t xml:space="preserve">decreased by 80 bps </w:t>
      </w:r>
      <w:r>
        <w:rPr>
          <w:rFonts w:ascii="Times New Roman;serif" w:hAnsi="Times New Roman;serif"/>
          <w:b w:val="false"/>
          <w:color w:val="231F20"/>
          <w:sz w:val="20"/>
        </w:rPr>
        <w:t xml:space="preserve">to </w:t>
      </w:r>
      <w:r>
        <w:rPr>
          <w:rFonts w:ascii="Times New Roman;serif" w:hAnsi="Times New Roman;serif"/>
          <w:b w:val="false"/>
          <w:color w:val="000000"/>
          <w:sz w:val="20"/>
        </w:rPr>
        <w:t>74.6%</w:t>
      </w:r>
      <w:r>
        <w:rPr>
          <w:color w:val="231F20"/>
        </w:rPr>
        <w:t>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 xml:space="preserve">the </w:t>
      </w:r>
      <w:r>
        <w:rPr>
          <w:rFonts w:ascii="Times New Roman;serif" w:hAnsi="Times New Roman;serif"/>
          <w:b w:val="false"/>
          <w:color w:val="000000"/>
          <w:sz w:val="20"/>
        </w:rPr>
        <w:t>six months ended June 30, 2026 compared to 75.4%</w:t>
      </w:r>
      <w:r>
        <w:rPr>
          <w:color w:val="00000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 same period in 2025.</w:t>
      </w:r>
    </w:p>
    <w:p>
      <w:pPr>
        <w:pStyle w:val="TextBody"/>
        <w:bidi w:val="0"/>
        <w:spacing w:before="0" w:after="0"/>
        <w:ind w:left="0" w:right="0" w:firstLine="576"/>
        <w:jc w:val="both"/>
        <w:rPr/>
      </w:pPr>
      <w:r>
        <w:rPr/>
      </w:r>
    </w:p>
    <w:p>
      <w:pPr>
        <w:pStyle w:val="TextBody"/>
        <w:bidi w:val="0"/>
        <w:spacing w:lineRule="auto" w:line="288" w:before="0" w:after="0"/>
        <w:ind w:left="0" w:right="0" w:firstLine="576"/>
        <w:jc w:val="both"/>
        <w:rPr/>
      </w:pPr>
      <w:r>
        <w:rPr>
          <w:rFonts w:ascii="Times New Roman;serif" w:hAnsi="Times New Roman;serif"/>
          <w:b w:val="false"/>
          <w:color w:val="000000"/>
          <w:sz w:val="20"/>
        </w:rPr>
        <w:t xml:space="preserve">Operating income was $89.2 million and $151.1 million for the three and six months ended </w:t>
      </w:r>
      <w:r>
        <w:rPr>
          <w:rFonts w:ascii="Times New Roman;serif" w:hAnsi="Times New Roman;serif"/>
          <w:b w:val="false"/>
          <w:color w:val="231F20"/>
          <w:sz w:val="20"/>
        </w:rPr>
        <w:t xml:space="preserve">June 30, 2026, respectively, compared to </w:t>
      </w:r>
      <w:r>
        <w:rPr>
          <w:rFonts w:ascii="Times New Roman;serif" w:hAnsi="Times New Roman;serif"/>
          <w:b w:val="false"/>
          <w:color w:val="000000"/>
          <w:sz w:val="20"/>
        </w:rPr>
        <w:t xml:space="preserve">$39.8 million and $51.1 million for the same periods in 2025, respectively, representing an increase of 124% and 196% year over year, respectively. </w:t>
      </w:r>
    </w:p>
    <w:p>
      <w:pPr>
        <w:pStyle w:val="TextBody"/>
        <w:bidi w:val="0"/>
        <w:spacing w:lineRule="auto" w:line="288" w:before="240" w:after="283"/>
        <w:ind w:left="0" w:right="0" w:firstLine="576"/>
        <w:jc w:val="both"/>
        <w:rPr/>
      </w:pPr>
      <w:r>
        <w:rPr>
          <w:rFonts w:ascii="Times New Roman;serif" w:hAnsi="Times New Roman;serif"/>
          <w:b w:val="false"/>
          <w:color w:val="000000"/>
          <w:sz w:val="20"/>
        </w:rPr>
        <w:t>Net income was $153.1 million and $233.4 million for the three and six months ended June 30, 2026</w:t>
      </w:r>
      <w:r>
        <w:rPr>
          <w:color w:val="231F20"/>
        </w:rPr>
        <w:t xml:space="preserve"> </w:t>
      </w:r>
      <w:r>
        <w:rPr>
          <w:rFonts w:ascii="Times New Roman;serif" w:hAnsi="Times New Roman;serif"/>
          <w:b w:val="false"/>
          <w:color w:val="231F20"/>
          <w:sz w:val="20"/>
        </w:rPr>
        <w:t xml:space="preserve">respectively, compared to </w:t>
      </w:r>
      <w:r>
        <w:rPr>
          <w:rFonts w:ascii="Times New Roman;serif" w:hAnsi="Times New Roman;serif"/>
          <w:b w:val="false"/>
          <w:color w:val="000000"/>
          <w:sz w:val="20"/>
        </w:rPr>
        <w:t>$51.2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$83.0 million</w:t>
      </w:r>
      <w:r>
        <w:rPr>
          <w:color w:val="000000"/>
        </w:rPr>
        <w:t xml:space="preserve"> </w:t>
      </w:r>
      <w:r>
        <w:rPr>
          <w:rFonts w:ascii="Times New Roman;serif" w:hAnsi="Times New Roman;serif"/>
          <w:b w:val="false"/>
          <w:color w:val="231F20"/>
          <w:sz w:val="20"/>
        </w:rPr>
        <w:t xml:space="preserve">for the same periods in 2025, respectively, </w:t>
      </w:r>
      <w:r>
        <w:rPr>
          <w:rFonts w:ascii="Times New Roman;serif" w:hAnsi="Times New Roman;serif"/>
          <w:b w:val="false"/>
          <w:color w:val="000000"/>
          <w:sz w:val="20"/>
        </w:rPr>
        <w:t>representing an increase of 199% and 181%</w:t>
      </w:r>
      <w:r>
        <w:rPr>
          <w:color w:val="000000"/>
        </w:rPr>
        <w:t xml:space="preserve"> </w:t>
      </w:r>
      <w:r>
        <w:rPr>
          <w:rFonts w:ascii="Times New Roman;serif" w:hAnsi="Times New Roman;serif"/>
          <w:b w:val="false"/>
          <w:color w:val="000000"/>
          <w:sz w:val="20"/>
        </w:rPr>
        <w:t xml:space="preserve">year over year,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0"/>
        </w:rPr>
        <w:t>Results</w:t>
      </w:r>
      <w:r>
        <w:rPr>
          <w:color w:val="231F20"/>
        </w:rPr>
        <w:t xml:space="preserve"> </w:t>
      </w:r>
      <w:r>
        <w:rPr>
          <w:rFonts w:ascii="Times New Roman;serif" w:hAnsi="Times New Roman;serif"/>
          <w:b/>
          <w:color w:val="231F20"/>
          <w:sz w:val="20"/>
        </w:rPr>
        <w:t>of Operations</w:t>
      </w:r>
    </w:p>
    <w:p>
      <w:pPr>
        <w:pStyle w:val="TextBody"/>
        <w:bidi w:val="0"/>
        <w:spacing w:lineRule="auto" w:line="288" w:before="360" w:after="283"/>
        <w:jc w:val="left"/>
        <w:rPr>
          <w:rFonts w:ascii="Times New Roman;serif" w:hAnsi="Times New Roman;serif"/>
          <w:b/>
          <w:color w:val="231F20"/>
          <w:sz w:val="20"/>
        </w:rPr>
      </w:pPr>
      <w:r>
        <w:rPr>
          <w:rFonts w:ascii="Times New Roman;serif" w:hAnsi="Times New Roman;serif"/>
          <w:b/>
          <w:color w:val="231F20"/>
          <w:sz w:val="20"/>
        </w:rPr>
        <w:t>Comparison of the Three and Six Months Ended June 30, 2026 and 2025</w:t>
      </w:r>
    </w:p>
    <w:p>
      <w:pPr>
        <w:pStyle w:val="TextBody"/>
        <w:bidi w:val="0"/>
        <w:spacing w:lineRule="auto" w:line="288" w:before="240" w:after="283"/>
        <w:ind w:left="0" w:right="0" w:firstLine="576"/>
        <w:jc w:val="left"/>
        <w:rPr>
          <w:rFonts w:ascii="Times New Roman;serif" w:hAnsi="Times New Roman;serif"/>
          <w:b/>
          <w:i/>
          <w:color w:val="231F20"/>
          <w:sz w:val="20"/>
        </w:rPr>
      </w:pPr>
      <w:r>
        <w:rPr>
          <w:rFonts w:ascii="Times New Roman;serif" w:hAnsi="Times New Roman;serif"/>
          <w:b/>
          <w:i/>
          <w:color w:val="231F20"/>
          <w:sz w:val="20"/>
        </w:rPr>
        <w:t>Revenue</w:t>
      </w:r>
    </w:p>
    <w:tbl>
      <w:tblPr>
        <w:tblW w:w="11420"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9"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349,394 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240" w:after="283"/>
        <w:ind w:left="0" w:right="0" w:firstLine="576"/>
        <w:jc w:val="both"/>
        <w:rPr/>
      </w:pP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000000"/>
          <w:sz w:val="20"/>
        </w:rPr>
        <w:t>$200.5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104%, and $349.4 million, or 99%,</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 three and six</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 xml:space="preserve">June 30, 2026,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the same periods in 2025, primarily</w:t>
      </w:r>
      <w:r>
        <w:rPr>
          <w:color w:val="231F20"/>
        </w:rPr>
        <w:t xml:space="preserve"> </w:t>
      </w:r>
      <w:r>
        <w:rPr>
          <w:rFonts w:ascii="Times New Roman;serif" w:hAnsi="Times New Roman;serif"/>
          <w:b w:val="false"/>
          <w:color w:val="231F20"/>
          <w:sz w:val="20"/>
        </w:rPr>
        <w:t xml:space="preserve">due to an increase in overall unit shipments driven by higher demand for our </w:t>
      </w:r>
      <w:r>
        <w:rPr>
          <w:rFonts w:ascii="Times New Roman;serif" w:hAnsi="Times New Roman;serif"/>
          <w:b w:val="false"/>
          <w:color w:val="000000"/>
          <w:sz w:val="20"/>
        </w:rPr>
        <w:t xml:space="preserve">Aries, Scorpio, and Taurus </w:t>
      </w:r>
      <w:r>
        <w:rPr>
          <w:rFonts w:ascii="Times New Roman;serif" w:hAnsi="Times New Roman;serif"/>
          <w:b w:val="false"/>
          <w:color w:val="231F20"/>
          <w:sz w:val="20"/>
        </w:rPr>
        <w:t xml:space="preserve">products, as well as higher overall average selling prices resulting from an increased mix of hardware modules </w:t>
      </w:r>
      <w:r>
        <w:rPr>
          <w:rFonts w:ascii="Times New Roman;serif" w:hAnsi="Times New Roman;serif"/>
          <w:b w:val="false"/>
          <w:color w:val="000000"/>
          <w:sz w:val="20"/>
        </w:rPr>
        <w:t>and Scorpio products</w:t>
      </w:r>
      <w:r>
        <w:rPr>
          <w:rFonts w:ascii="Times New Roman;serif" w:hAnsi="Times New Roman;serif"/>
          <w:b w:val="false"/>
          <w:color w:val="231F20"/>
          <w:sz w:val="20"/>
        </w:rPr>
        <w:t>.</w:t>
      </w:r>
    </w:p>
    <w:p>
      <w:pPr>
        <w:pStyle w:val="TextBody"/>
        <w:bidi w:val="0"/>
        <w:spacing w:lineRule="auto" w:line="288" w:before="360" w:after="283"/>
        <w:ind w:left="0" w:right="0" w:firstLine="576"/>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Cost of Revenue, Gross Profit, and Gross Margin</w:t>
      </w:r>
    </w:p>
    <w:tbl>
      <w:tblPr>
        <w:tblW w:w="11678" w:type="dxa"/>
        <w:jc w:val="left"/>
        <w:tblInd w:w="0" w:type="dxa"/>
        <w:tblLayout w:type="fixed"/>
        <w:tblCellMar>
          <w:top w:w="28" w:type="dxa"/>
          <w:left w:w="28" w:type="dxa"/>
          <w:bottom w:w="28" w:type="dxa"/>
          <w:right w:w="28" w:type="dxa"/>
        </w:tblCellMar>
      </w:tblPr>
      <w:tblGrid>
        <w:gridCol w:w="277"/>
        <w:gridCol w:w="244"/>
        <w:gridCol w:w="245"/>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31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2"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 and bps)</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142,004 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257,734 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76"/>
        <w:jc w:val="both"/>
        <w:rPr/>
      </w:pP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cost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000000"/>
          <w:sz w:val="20"/>
        </w:rPr>
        <w:t>$58.5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126%</w:t>
      </w:r>
      <w:r>
        <w:rPr>
          <w:rFonts w:ascii="Times New Roman;serif" w:hAnsi="Times New Roman;serif"/>
          <w:b w:val="false"/>
          <w:color w:val="231F20"/>
          <w:sz w:val="20"/>
        </w:rPr>
        <w:t xml:space="preserve">, and </w:t>
      </w:r>
      <w:r>
        <w:rPr>
          <w:rFonts w:ascii="Times New Roman;serif" w:hAnsi="Times New Roman;serif"/>
          <w:b w:val="false"/>
          <w:color w:val="000000"/>
          <w:sz w:val="20"/>
        </w:rPr>
        <w:t>$91.7 million,</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106%,</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three and six months ended </w:t>
      </w:r>
      <w:r>
        <w:rPr>
          <w:rFonts w:ascii="Times New Roman;serif" w:hAnsi="Times New Roman;serif"/>
          <w:b w:val="false"/>
          <w:color w:val="000000"/>
          <w:sz w:val="20"/>
        </w:rPr>
        <w:t xml:space="preserve">June 30, 2026,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the same periods in 2025, respectively, primarily</w:t>
      </w:r>
      <w:r>
        <w:rPr>
          <w:color w:val="231F20"/>
        </w:rPr>
        <w:t xml:space="preserve"> </w:t>
      </w:r>
      <w:r>
        <w:rPr>
          <w:rFonts w:ascii="Times New Roman;serif" w:hAnsi="Times New Roman;serif"/>
          <w:b w:val="false"/>
          <w:color w:val="231F20"/>
          <w:sz w:val="20"/>
        </w:rPr>
        <w:t xml:space="preserve">due to higher unit shipments and shift in product mix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576"/>
        <w:jc w:val="both"/>
        <w:rPr/>
      </w:pPr>
      <w:r>
        <w:rPr>
          <w:rFonts w:ascii="Times New Roman;serif" w:hAnsi="Times New Roman;serif"/>
          <w:b w:val="false"/>
          <w:color w:val="231F20"/>
          <w:sz w:val="20"/>
        </w:rPr>
        <w:t>Gross</w:t>
      </w:r>
      <w:r>
        <w:rPr>
          <w:color w:val="231F20"/>
        </w:rPr>
        <w:t xml:space="preserve"> </w:t>
      </w:r>
      <w:r>
        <w:rPr>
          <w:rFonts w:ascii="Times New Roman;serif" w:hAnsi="Times New Roman;serif"/>
          <w:b w:val="false"/>
          <w:color w:val="231F20"/>
          <w:sz w:val="20"/>
        </w:rPr>
        <w:t>margin</w:t>
      </w:r>
      <w:r>
        <w:rPr>
          <w:color w:val="231F20"/>
        </w:rPr>
        <w:t xml:space="preserve"> </w:t>
      </w:r>
      <w:r>
        <w:rPr>
          <w:rFonts w:ascii="Times New Roman;serif" w:hAnsi="Times New Roman;serif"/>
          <w:b w:val="false"/>
          <w:color w:val="000000"/>
          <w:sz w:val="20"/>
        </w:rPr>
        <w:t xml:space="preserve">decreased 250 bps </w:t>
      </w:r>
      <w:r>
        <w:rPr>
          <w:rFonts w:ascii="Times New Roman;serif" w:hAnsi="Times New Roman;serif"/>
          <w:b w:val="false"/>
          <w:color w:val="231F20"/>
          <w:sz w:val="20"/>
        </w:rPr>
        <w:t>to </w:t>
      </w:r>
      <w:r>
        <w:rPr>
          <w:rFonts w:ascii="Times New Roman;serif" w:hAnsi="Times New Roman;serif"/>
          <w:b w:val="false"/>
          <w:color w:val="000000"/>
          <w:sz w:val="20"/>
        </w:rPr>
        <w:t xml:space="preserve">73.3%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three months ended </w:t>
      </w:r>
      <w:r>
        <w:rPr>
          <w:rFonts w:ascii="Times New Roman;serif" w:hAnsi="Times New Roman;serif"/>
          <w:b w:val="false"/>
          <w:color w:val="000000"/>
          <w:sz w:val="20"/>
        </w:rPr>
        <w:t>June 30, 2026 compared to 75.8%</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 xml:space="preserve">the same period in 2025. The decrease was primarily driven by a shift in product mix towards lower margin hardware modules, as well as the impact of the Warrants. </w:t>
      </w:r>
    </w:p>
    <w:p>
      <w:pPr>
        <w:pStyle w:val="TextBody"/>
        <w:bidi w:val="0"/>
        <w:spacing w:lineRule="auto" w:line="288" w:before="240" w:after="283"/>
        <w:ind w:left="0" w:right="0" w:firstLine="576"/>
        <w:jc w:val="both"/>
        <w:rPr/>
      </w:pPr>
      <w:r>
        <w:rPr>
          <w:rFonts w:ascii="Times New Roman;serif" w:hAnsi="Times New Roman;serif"/>
          <w:b w:val="false"/>
          <w:color w:val="231F20"/>
          <w:sz w:val="20"/>
        </w:rPr>
        <w:t>Gross</w:t>
      </w:r>
      <w:r>
        <w:rPr>
          <w:color w:val="231F20"/>
        </w:rPr>
        <w:t xml:space="preserve"> </w:t>
      </w:r>
      <w:r>
        <w:rPr>
          <w:rFonts w:ascii="Times New Roman;serif" w:hAnsi="Times New Roman;serif"/>
          <w:b w:val="false"/>
          <w:color w:val="231F20"/>
          <w:sz w:val="20"/>
        </w:rPr>
        <w:t xml:space="preserve">margin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231F20"/>
          <w:sz w:val="20"/>
        </w:rPr>
        <w:t>8</w:t>
      </w:r>
      <w:r>
        <w:rPr>
          <w:rFonts w:ascii="Times New Roman;serif" w:hAnsi="Times New Roman;serif"/>
          <w:b w:val="false"/>
          <w:color w:val="000000"/>
          <w:sz w:val="20"/>
        </w:rPr>
        <w:t xml:space="preserve">0 bps </w:t>
      </w:r>
      <w:r>
        <w:rPr>
          <w:rFonts w:ascii="Times New Roman;serif" w:hAnsi="Times New Roman;serif"/>
          <w:b w:val="false"/>
          <w:color w:val="231F20"/>
          <w:sz w:val="20"/>
        </w:rPr>
        <w:t>to </w:t>
      </w:r>
      <w:r>
        <w:rPr>
          <w:rFonts w:ascii="Times New Roman;serif" w:hAnsi="Times New Roman;serif"/>
          <w:b w:val="false"/>
          <w:color w:val="000000"/>
          <w:sz w:val="20"/>
        </w:rPr>
        <w:t>74.6%</w:t>
      </w:r>
      <w:r>
        <w:rPr>
          <w:color w:val="00000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six months ended </w:t>
      </w:r>
      <w:r>
        <w:rPr>
          <w:rFonts w:ascii="Times New Roman;serif" w:hAnsi="Times New Roman;serif"/>
          <w:b w:val="false"/>
          <w:color w:val="000000"/>
          <w:sz w:val="20"/>
        </w:rPr>
        <w:t>June 30, 2026 compared to 75.4%</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 same period in 2025.</w:t>
      </w:r>
      <w:r>
        <w:rPr>
          <w:color w:val="231F20"/>
        </w:rPr>
        <w:t xml:space="preserve"> </w:t>
      </w:r>
      <w:r>
        <w:rPr>
          <w:rFonts w:ascii="Times New Roman;serif" w:hAnsi="Times New Roman;serif"/>
          <w:b w:val="false"/>
          <w:color w:val="231F20"/>
          <w:sz w:val="20"/>
        </w:rPr>
        <w:t>The decrease was primarily driven by a shift in product mix towards lower margin hardware modules, as well as the impact of the Warrants</w:t>
      </w:r>
      <w:r>
        <w:rPr>
          <w:rFonts w:ascii="Times New Roman;serif" w:hAnsi="Times New Roman;serif"/>
          <w:b w:val="false"/>
          <w:color w:val="000000"/>
          <w:sz w:val="20"/>
        </w:rPr>
        <w:t xml:space="preserve">. </w:t>
      </w:r>
    </w:p>
    <w:p>
      <w:pPr>
        <w:pStyle w:val="TextBody"/>
        <w:bidi w:val="0"/>
        <w:spacing w:lineRule="auto" w:line="288" w:before="240" w:after="283"/>
        <w:ind w:left="0" w:right="0" w:firstLine="576"/>
        <w:jc w:val="both"/>
        <w:rPr/>
      </w:pPr>
      <w:r>
        <w:rPr>
          <w:rFonts w:ascii="Times New Roman;serif" w:hAnsi="Times New Roman;serif"/>
          <w:b w:val="false"/>
          <w:color w:val="000000"/>
          <w:sz w:val="20"/>
        </w:rPr>
        <w:t>For an additional discussion of Warrants, s</w:t>
      </w:r>
      <w:r>
        <w:rPr>
          <w:rFonts w:ascii="Times New Roman;serif" w:hAnsi="Times New Roman;serif"/>
          <w:b w:val="false"/>
          <w:color w:val="231F20"/>
          <w:sz w:val="20"/>
        </w:rPr>
        <w:t>ee Note 9 - Common Stock Warrants in the notes to the</w:t>
      </w:r>
      <w:r>
        <w:rPr>
          <w:color w:val="231F20"/>
        </w:rPr>
        <w:t xml:space="preserve"> </w:t>
      </w:r>
      <w:r>
        <w:rPr>
          <w:rFonts w:ascii="Times New Roman;serif" w:hAnsi="Times New Roman;serif"/>
          <w:b w:val="false"/>
          <w:color w:val="231F20"/>
          <w:sz w:val="20"/>
        </w:rPr>
        <w:t>unaudited condensed 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 set forth in Part I, Item 1 of</w:t>
      </w:r>
      <w:r>
        <w:rPr>
          <w:color w:val="231F20"/>
        </w:rPr>
        <w:t xml:space="preserve"> </w:t>
      </w:r>
      <w:r>
        <w:rPr>
          <w:rFonts w:ascii="Times New Roman;serif" w:hAnsi="Times New Roman;serif"/>
          <w:b w:val="false"/>
          <w:color w:val="231F20"/>
          <w:sz w:val="20"/>
        </w:rPr>
        <w:t>this Quarterly Report on Form 10-Q.</w:t>
      </w:r>
    </w:p>
    <w:p>
      <w:pPr>
        <w:pStyle w:val="TextBody"/>
        <w:bidi w:val="0"/>
        <w:spacing w:lineRule="auto" w:line="288" w:before="360" w:after="283"/>
        <w:ind w:left="0" w:right="0" w:firstLine="576"/>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Research and Development</w:t>
      </w:r>
    </w:p>
    <w:tbl>
      <w:tblPr>
        <w:tblW w:w="12203" w:type="dxa"/>
        <w:jc w:val="left"/>
        <w:tblInd w:w="0" w:type="dxa"/>
        <w:tblLayout w:type="fixed"/>
        <w:tblCellMar>
          <w:top w:w="28" w:type="dxa"/>
          <w:left w:w="28" w:type="dxa"/>
          <w:bottom w:w="28" w:type="dxa"/>
          <w:right w:w="28" w:type="dxa"/>
        </w:tblCellMar>
      </w:tblPr>
      <w:tblGrid>
        <w:gridCol w:w="430"/>
        <w:gridCol w:w="377"/>
        <w:gridCol w:w="37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7"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 xml:space="preserve">and development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130,254 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Percentage</w:t>
            </w:r>
            <w:r>
              <w:rPr>
                <w:color w:val="231F20"/>
              </w:rPr>
              <w:t xml:space="preserve"> </w:t>
            </w:r>
            <w:r>
              <w:rPr>
                <w:rFonts w:ascii="Times New Roman;serif" w:hAnsi="Times New Roman;serif"/>
                <w:b w:val="false"/>
                <w:color w:val="231F20"/>
                <w:sz w:val="20"/>
              </w:rPr>
              <w:t>of revenue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76"/>
        <w:jc w:val="both"/>
        <w:rPr/>
      </w:pP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000000"/>
          <w:sz w:val="20"/>
        </w:rPr>
        <w:t>increased $69.2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104%</w:t>
      </w:r>
      <w:r>
        <w:rPr>
          <w:rFonts w:ascii="Times New Roman;serif" w:hAnsi="Times New Roman;serif"/>
          <w:b w:val="false"/>
          <w:color w:val="231F20"/>
          <w:sz w:val="20"/>
        </w:rPr>
        <w:t>, 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three months ended </w:t>
      </w:r>
      <w:r>
        <w:rPr>
          <w:rFonts w:ascii="Times New Roman;serif" w:hAnsi="Times New Roman;serif"/>
          <w:b w:val="false"/>
          <w:color w:val="000000"/>
          <w:sz w:val="20"/>
        </w:rPr>
        <w:t xml:space="preserve">June 30, 2026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 the same period in 2025.</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was primarily due to a $32.7 million</w:t>
      </w:r>
      <w:r>
        <w:rPr>
          <w:color w:val="231F20"/>
        </w:rPr>
        <w:t xml:space="preserve"> </w:t>
      </w:r>
      <w:r>
        <w:rPr>
          <w:rFonts w:ascii="Times New Roman;serif" w:hAnsi="Times New Roman;serif"/>
          <w:b w:val="false"/>
          <w:color w:val="231F20"/>
          <w:sz w:val="20"/>
        </w:rPr>
        <w:t>increase in personnel-related costs resulting from an 118% increase in</w:t>
      </w:r>
      <w:r>
        <w:rPr>
          <w:color w:val="231F20"/>
        </w:rPr>
        <w:t xml:space="preserve"> </w:t>
      </w:r>
      <w:r>
        <w:rPr>
          <w:rFonts w:ascii="Times New Roman;serif" w:hAnsi="Times New Roman;serif"/>
          <w:b w:val="false"/>
          <w:color w:val="231F20"/>
          <w:sz w:val="20"/>
        </w:rPr>
        <w:t xml:space="preserve">headcount, an $18.6 million increase in non-cash stock-based compensation expenses, and a $12.1 million increase in overall spending to support our R&amp;D initiatives, which includes hardware design, software licensing, and cloud hosting services costs. </w:t>
      </w:r>
    </w:p>
    <w:p>
      <w:pPr>
        <w:pStyle w:val="TextBody"/>
        <w:bidi w:val="0"/>
        <w:spacing w:lineRule="auto" w:line="288" w:before="240" w:after="283"/>
        <w:ind w:left="0" w:right="0" w:firstLine="576"/>
        <w:jc w:val="both"/>
        <w:rPr/>
      </w:pP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000000"/>
          <w:sz w:val="20"/>
        </w:rPr>
        <w:t>increased $130.3 million,</w:t>
      </w:r>
      <w:r>
        <w:rPr>
          <w:color w:val="231F20"/>
        </w:rPr>
        <w:t xml:space="preserve"> </w:t>
      </w:r>
      <w:r>
        <w:rPr>
          <w:rFonts w:ascii="Times New Roman;serif" w:hAnsi="Times New Roman;serif"/>
          <w:b w:val="false"/>
          <w:color w:val="231F20"/>
          <w:sz w:val="20"/>
        </w:rPr>
        <w:t xml:space="preserve">or </w:t>
      </w:r>
      <w:r>
        <w:rPr>
          <w:rFonts w:ascii="Times New Roman;serif" w:hAnsi="Times New Roman;serif"/>
          <w:b w:val="false"/>
          <w:color w:val="000000"/>
          <w:sz w:val="20"/>
        </w:rPr>
        <w:t>99%</w:t>
      </w:r>
      <w:r>
        <w:rPr>
          <w:rFonts w:ascii="Times New Roman;serif" w:hAnsi="Times New Roman;serif"/>
          <w:b w:val="false"/>
          <w:color w:val="231F20"/>
          <w:sz w:val="20"/>
        </w:rPr>
        <w:t>, 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000000"/>
          <w:sz w:val="20"/>
        </w:rPr>
        <w:t>six months ended June 30, 2026 c</w:t>
      </w:r>
      <w:r>
        <w:rPr>
          <w:rFonts w:ascii="Times New Roman;serif" w:hAnsi="Times New Roman;serif"/>
          <w:b w:val="false"/>
          <w:color w:val="231F20"/>
          <w:sz w:val="20"/>
        </w:rPr>
        <w:t>ompared</w:t>
      </w:r>
      <w:r>
        <w:rPr>
          <w:color w:val="231F20"/>
        </w:rPr>
        <w:t xml:space="preserve"> </w:t>
      </w:r>
      <w:r>
        <w:rPr>
          <w:rFonts w:ascii="Times New Roman;serif" w:hAnsi="Times New Roman;serif"/>
          <w:b w:val="false"/>
          <w:color w:val="231F20"/>
          <w:sz w:val="20"/>
        </w:rPr>
        <w:t>to the same period in 2025.</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was primarily due to a $49.8 million</w:t>
      </w:r>
      <w:r>
        <w:rPr>
          <w:color w:val="231F20"/>
        </w:rPr>
        <w:t xml:space="preserve"> </w:t>
      </w:r>
      <w:r>
        <w:rPr>
          <w:rFonts w:ascii="Times New Roman;serif" w:hAnsi="Times New Roman;serif"/>
          <w:b w:val="false"/>
          <w:color w:val="231F20"/>
          <w:sz w:val="20"/>
        </w:rPr>
        <w:t>increase in personnel-related costs resulting from a 102% increase in</w:t>
      </w:r>
      <w:r>
        <w:rPr>
          <w:color w:val="231F20"/>
        </w:rPr>
        <w:t xml:space="preserve"> </w:t>
      </w:r>
      <w:r>
        <w:rPr>
          <w:rFonts w:ascii="Times New Roman;serif" w:hAnsi="Times New Roman;serif"/>
          <w:b w:val="false"/>
          <w:color w:val="231F20"/>
          <w:sz w:val="20"/>
        </w:rPr>
        <w:t xml:space="preserve">headcount, a $28.8 million increase in non-cash stock-based compensation expenses, and a $41.4 million increase in overall spending to support our R&amp;D initiatives, which includes hardware design, software licensing, and cloud hosting services costs. </w:t>
      </w:r>
    </w:p>
    <w:p>
      <w:pPr>
        <w:pStyle w:val="TextBody"/>
        <w:bidi w:val="0"/>
        <w:spacing w:lineRule="auto" w:line="288" w:before="360" w:after="283"/>
        <w:ind w:left="0" w:right="0" w:firstLine="576"/>
        <w:jc w:val="left"/>
        <w:rPr/>
      </w:pPr>
      <w:r>
        <w:rPr>
          <w:rFonts w:ascii="Times New Roman;serif" w:hAnsi="Times New Roman;serif"/>
          <w:b/>
          <w:i/>
          <w:color w:val="231F20"/>
          <w:sz w:val="20"/>
        </w:rPr>
        <w:t>Sales</w:t>
      </w:r>
      <w:r>
        <w:rPr>
          <w:color w:val="231F20"/>
        </w:rPr>
        <w:t xml:space="preserve"> </w:t>
      </w:r>
      <w:r>
        <w:rPr>
          <w:rFonts w:ascii="Times New Roman;serif" w:hAnsi="Times New Roman;serif"/>
          <w:b/>
          <w:i/>
          <w:color w:val="231F20"/>
          <w:sz w:val="20"/>
        </w:rPr>
        <w:t>and Marketing</w:t>
      </w:r>
    </w:p>
    <w:tbl>
      <w:tblPr>
        <w:tblW w:w="11288" w:type="dxa"/>
        <w:jc w:val="left"/>
        <w:tblInd w:w="0" w:type="dxa"/>
        <w:tblLayout w:type="fixed"/>
        <w:tblCellMar>
          <w:top w:w="28" w:type="dxa"/>
          <w:left w:w="28" w:type="dxa"/>
          <w:bottom w:w="28" w:type="dxa"/>
          <w:right w:w="28" w:type="dxa"/>
        </w:tblCellMar>
      </w:tblPr>
      <w:tblGrid>
        <w:gridCol w:w="402"/>
        <w:gridCol w:w="301"/>
        <w:gridCol w:w="30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2"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 xml:space="preserve">and marketing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Percentage</w:t>
            </w:r>
            <w:r>
              <w:rPr>
                <w:color w:val="231F20"/>
              </w:rPr>
              <w:t xml:space="preserve"> </w:t>
            </w:r>
            <w:r>
              <w:rPr>
                <w:rFonts w:ascii="Times New Roman;serif" w:hAnsi="Times New Roman;serif"/>
                <w:b w:val="false"/>
                <w:color w:val="231F20"/>
                <w:sz w:val="20"/>
              </w:rPr>
              <w:t>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76"/>
        <w:jc w:val="both"/>
        <w:rPr/>
      </w:pP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marketing</w:t>
      </w:r>
      <w:r>
        <w:rPr>
          <w:color w:val="231F20"/>
        </w:rPr>
        <w:t xml:space="preserve"> </w:t>
      </w:r>
      <w:r>
        <w:rPr>
          <w:rFonts w:ascii="Times New Roman;serif" w:hAnsi="Times New Roman;serif"/>
          <w:b w:val="false"/>
          <w:color w:val="231F20"/>
          <w:sz w:val="20"/>
        </w:rPr>
        <w:t xml:space="preserve">expense increased by </w:t>
      </w:r>
      <w:r>
        <w:rPr>
          <w:rFonts w:ascii="Times New Roman;serif" w:hAnsi="Times New Roman;serif"/>
          <w:b w:val="false"/>
          <w:color w:val="000000"/>
          <w:sz w:val="20"/>
        </w:rPr>
        <w:t>$7.8 million</w:t>
      </w:r>
      <w:r>
        <w:rPr>
          <w:rFonts w:ascii="Times New Roman;serif" w:hAnsi="Times New Roman;serif"/>
          <w:b w:val="false"/>
          <w:color w:val="231F20"/>
          <w:sz w:val="20"/>
        </w:rPr>
        <w:t xml:space="preserve">, or </w:t>
      </w:r>
      <w:r>
        <w:rPr>
          <w:rFonts w:ascii="Times New Roman;serif" w:hAnsi="Times New Roman;serif"/>
          <w:b w:val="false"/>
          <w:color w:val="000000"/>
          <w:sz w:val="20"/>
        </w:rPr>
        <w:t>42%,</w:t>
      </w:r>
      <w:r>
        <w:rPr>
          <w:color w:val="00000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three months ended </w:t>
      </w:r>
      <w:r>
        <w:rPr>
          <w:rFonts w:ascii="Times New Roman;serif" w:hAnsi="Times New Roman;serif"/>
          <w:b w:val="false"/>
          <w:color w:val="000000"/>
          <w:sz w:val="20"/>
        </w:rPr>
        <w:t xml:space="preserve">June 30, 2026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 the same period in 2025. The increase was primarily due to a $4.9 million increase in personnel-related costs resulting from a 47% increase in headcount, and a $2.2 million increase in non-cash stock-based compensation expenses.</w:t>
      </w:r>
    </w:p>
    <w:p>
      <w:pPr>
        <w:pStyle w:val="TextBody"/>
        <w:bidi w:val="0"/>
        <w:spacing w:lineRule="auto" w:line="288" w:before="240" w:after="283"/>
        <w:ind w:left="0" w:right="0" w:firstLine="576"/>
        <w:jc w:val="both"/>
        <w:rPr/>
      </w:pP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marketing</w:t>
      </w:r>
      <w:r>
        <w:rPr>
          <w:color w:val="231F20"/>
        </w:rPr>
        <w:t xml:space="preserve"> </w:t>
      </w:r>
      <w:r>
        <w:rPr>
          <w:rFonts w:ascii="Times New Roman;serif" w:hAnsi="Times New Roman;serif"/>
          <w:b w:val="false"/>
          <w:color w:val="231F20"/>
          <w:sz w:val="20"/>
        </w:rPr>
        <w:t xml:space="preserve">expense increased by </w:t>
      </w:r>
      <w:r>
        <w:rPr>
          <w:rFonts w:ascii="Times New Roman;serif" w:hAnsi="Times New Roman;serif"/>
          <w:b w:val="false"/>
          <w:color w:val="000000"/>
          <w:sz w:val="20"/>
        </w:rPr>
        <w:t>$8.0 million</w:t>
      </w:r>
      <w:r>
        <w:rPr>
          <w:rFonts w:ascii="Times New Roman;serif" w:hAnsi="Times New Roman;serif"/>
          <w:b w:val="false"/>
          <w:color w:val="231F20"/>
          <w:sz w:val="20"/>
        </w:rPr>
        <w:t xml:space="preserve">, or </w:t>
      </w:r>
      <w:r>
        <w:rPr>
          <w:rFonts w:ascii="Times New Roman;serif" w:hAnsi="Times New Roman;serif"/>
          <w:b w:val="false"/>
          <w:color w:val="000000"/>
          <w:sz w:val="20"/>
        </w:rPr>
        <w:t>20%</w:t>
      </w:r>
      <w:r>
        <w:rPr>
          <w:rFonts w:ascii="Times New Roman;serif" w:hAnsi="Times New Roman;serif"/>
          <w:b w:val="false"/>
          <w:color w:val="231F20"/>
          <w:sz w:val="20"/>
        </w:rPr>
        <w:t>, for</w:t>
      </w:r>
      <w:r>
        <w:rPr>
          <w:color w:val="231F20"/>
        </w:rPr>
        <w:t xml:space="preserve"> </w:t>
      </w:r>
      <w:r>
        <w:rPr>
          <w:rFonts w:ascii="Times New Roman;serif" w:hAnsi="Times New Roman;serif"/>
          <w:b w:val="false"/>
          <w:color w:val="231F20"/>
          <w:sz w:val="20"/>
        </w:rPr>
        <w:t xml:space="preserve">the </w:t>
      </w:r>
      <w:r>
        <w:rPr>
          <w:rFonts w:ascii="Times New Roman;serif" w:hAnsi="Times New Roman;serif"/>
          <w:b w:val="false"/>
          <w:color w:val="000000"/>
          <w:sz w:val="20"/>
        </w:rPr>
        <w:t xml:space="preserve">six months ended June 30, 2026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 the same period in 2025. The increase was primarily due to a $6.9 million increase in personnel-related costs resulting from a 113% increase in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firstLine="576"/>
        <w:jc w:val="both"/>
        <w:rPr>
          <w:rFonts w:ascii="Times New Roman;serif" w:hAnsi="Times New Roman;serif"/>
          <w:b/>
          <w:i/>
          <w:color w:val="231F20"/>
          <w:sz w:val="20"/>
        </w:rPr>
      </w:pPr>
      <w:r>
        <w:rPr>
          <w:rFonts w:ascii="Times New Roman;serif" w:hAnsi="Times New Roman;serif"/>
          <w:b/>
          <w:i/>
          <w:color w:val="231F20"/>
          <w:sz w:val="20"/>
        </w:rPr>
        <w:t>General and Administrative</w:t>
      </w:r>
    </w:p>
    <w:tbl>
      <w:tblPr>
        <w:tblW w:w="11783" w:type="dxa"/>
        <w:jc w:val="left"/>
        <w:tblInd w:w="0" w:type="dxa"/>
        <w:tblLayout w:type="fixed"/>
        <w:tblCellMar>
          <w:top w:w="28" w:type="dxa"/>
          <w:left w:w="28" w:type="dxa"/>
          <w:bottom w:w="28" w:type="dxa"/>
          <w:right w:w="28" w:type="dxa"/>
        </w:tblCellMar>
      </w:tblPr>
      <w:tblGrid>
        <w:gridCol w:w="468"/>
        <w:gridCol w:w="411"/>
        <w:gridCol w:w="412"/>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2"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 xml:space="preserve">and administrative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Percentage</w:t>
            </w:r>
            <w:r>
              <w:rPr>
                <w:color w:val="231F20"/>
              </w:rPr>
              <w:t xml:space="preserve"> </w:t>
            </w:r>
            <w:r>
              <w:rPr>
                <w:rFonts w:ascii="Times New Roman;serif" w:hAnsi="Times New Roman;serif"/>
                <w:b w:val="false"/>
                <w:color w:val="231F20"/>
                <w:sz w:val="20"/>
              </w:rPr>
              <w:t>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76"/>
        <w:jc w:val="both"/>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administrative</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000000"/>
          <w:sz w:val="20"/>
        </w:rPr>
        <w:t>increased $15.6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76%</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for the</w:t>
      </w:r>
      <w:r>
        <w:rPr>
          <w:color w:val="231F20"/>
        </w:rPr>
        <w:t xml:space="preserve"> </w:t>
      </w:r>
      <w:r>
        <w:rPr>
          <w:rFonts w:ascii="Times New Roman;serif" w:hAnsi="Times New Roman;serif"/>
          <w:b w:val="false"/>
          <w:color w:val="231F20"/>
          <w:sz w:val="20"/>
        </w:rPr>
        <w:t xml:space="preserve">three months ended </w:t>
      </w:r>
      <w:r>
        <w:rPr>
          <w:rFonts w:ascii="Times New Roman;serif" w:hAnsi="Times New Roman;serif"/>
          <w:b w:val="false"/>
          <w:color w:val="000000"/>
          <w:sz w:val="20"/>
        </w:rPr>
        <w:t xml:space="preserve">June 30, 2026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 the same period in 2025.</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in</w:t>
      </w:r>
      <w:r>
        <w:rPr>
          <w:rFonts w:ascii="Times New Roman;serif" w:hAnsi="Times New Roman;serif"/>
          <w:b w:val="false"/>
          <w:color w:val="000000"/>
          <w:sz w:val="20"/>
        </w:rPr>
        <w:t>crease</w:t>
      </w:r>
      <w:r>
        <w:rPr>
          <w:color w:val="231F20"/>
        </w:rPr>
        <w:t xml:space="preserve"> </w:t>
      </w:r>
      <w:r>
        <w:rPr>
          <w:rFonts w:ascii="Times New Roman;serif" w:hAnsi="Times New Roman;serif"/>
          <w:b w:val="false"/>
          <w:color w:val="231F20"/>
          <w:sz w:val="20"/>
        </w:rPr>
        <w:t xml:space="preserve">was primarily due to a </w:t>
      </w:r>
      <w:r>
        <w:rPr>
          <w:rFonts w:ascii="Times New Roman;serif" w:hAnsi="Times New Roman;serif"/>
          <w:b w:val="false"/>
          <w:color w:val="000000"/>
          <w:sz w:val="20"/>
        </w:rPr>
        <w:t xml:space="preserve">$6.4 million increase </w:t>
      </w:r>
      <w:r>
        <w:rPr>
          <w:rFonts w:ascii="Times New Roman;serif" w:hAnsi="Times New Roman;serif"/>
          <w:b w:val="false"/>
          <w:color w:val="231F20"/>
          <w:sz w:val="20"/>
        </w:rPr>
        <w:t>in non-cash stock-based compensation expenses, a $5.6 million increase in personnel-related costs resulting from a 79% increase in</w:t>
      </w:r>
      <w:r>
        <w:rPr>
          <w:color w:val="231F20"/>
        </w:rPr>
        <w:t xml:space="preserve"> </w:t>
      </w:r>
      <w:r>
        <w:rPr>
          <w:rFonts w:ascii="Times New Roman;serif" w:hAnsi="Times New Roman;serif"/>
          <w:b w:val="false"/>
          <w:color w:val="231F20"/>
          <w:sz w:val="20"/>
        </w:rPr>
        <w:t>headcount, a $1.8 million increase in professional services fees associated with the continued development of our public company infrastructure, and a $1.8 million increase in other operating costs to support our business expansion.</w:t>
      </w:r>
    </w:p>
    <w:p>
      <w:pPr>
        <w:pStyle w:val="TextBody"/>
        <w:bidi w:val="0"/>
        <w:spacing w:lineRule="auto" w:line="288" w:before="240" w:after="283"/>
        <w:ind w:left="0" w:right="0" w:firstLine="576"/>
        <w:jc w:val="both"/>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administrative</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000000"/>
          <w:sz w:val="20"/>
        </w:rPr>
        <w:t>increased $19.5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 xml:space="preserve">or </w:t>
      </w:r>
      <w:r>
        <w:rPr>
          <w:rFonts w:ascii="Times New Roman;serif" w:hAnsi="Times New Roman;serif"/>
          <w:b w:val="false"/>
          <w:color w:val="000000"/>
          <w:sz w:val="20"/>
        </w:rPr>
        <w:t>46%</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for the six</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 xml:space="preserve">June 30, 2026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 the same period in 2025.</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in</w:t>
      </w:r>
      <w:r>
        <w:rPr>
          <w:rFonts w:ascii="Times New Roman;serif" w:hAnsi="Times New Roman;serif"/>
          <w:b w:val="false"/>
          <w:color w:val="000000"/>
          <w:sz w:val="20"/>
        </w:rPr>
        <w:t>crease</w:t>
      </w:r>
      <w:r>
        <w:rPr>
          <w:color w:val="231F20"/>
        </w:rPr>
        <w:t xml:space="preserve"> </w:t>
      </w:r>
      <w:r>
        <w:rPr>
          <w:rFonts w:ascii="Times New Roman;serif" w:hAnsi="Times New Roman;serif"/>
          <w:b w:val="false"/>
          <w:color w:val="231F20"/>
          <w:sz w:val="20"/>
        </w:rPr>
        <w:t>was primarily due to</w:t>
      </w:r>
      <w:r>
        <w:rPr>
          <w:color w:val="231F20"/>
        </w:rPr>
        <w:t xml:space="preserve"> </w:t>
      </w:r>
      <w:r>
        <w:rPr>
          <w:rFonts w:ascii="Times New Roman;serif" w:hAnsi="Times New Roman;serif"/>
          <w:b w:val="false"/>
          <w:color w:val="231F20"/>
          <w:sz w:val="20"/>
        </w:rPr>
        <w:t>a $7.3 million increase in personnel-related costs resulting from a 58% increase in</w:t>
      </w:r>
      <w:r>
        <w:rPr>
          <w:color w:val="231F20"/>
        </w:rPr>
        <w:t xml:space="preserve"> </w:t>
      </w:r>
      <w:r>
        <w:rPr>
          <w:rFonts w:ascii="Times New Roman;serif" w:hAnsi="Times New Roman;serif"/>
          <w:b w:val="false"/>
          <w:color w:val="231F20"/>
          <w:sz w:val="20"/>
        </w:rPr>
        <w:t>headcount, a</w:t>
      </w:r>
      <w:r>
        <w:rPr>
          <w:color w:val="000000"/>
        </w:rPr>
        <w:t xml:space="preserve"> </w:t>
      </w:r>
      <w:r>
        <w:rPr>
          <w:rFonts w:ascii="Times New Roman;serif" w:hAnsi="Times New Roman;serif"/>
          <w:b w:val="false"/>
          <w:color w:val="000000"/>
          <w:sz w:val="20"/>
        </w:rPr>
        <w:t>$4.5 million in</w:t>
      </w:r>
      <w:r>
        <w:rPr>
          <w:rFonts w:ascii="Times New Roman;serif" w:hAnsi="Times New Roman;serif"/>
          <w:b w:val="false"/>
          <w:color w:val="231F20"/>
          <w:sz w:val="20"/>
        </w:rPr>
        <w:t xml:space="preserve">crease in non-cash stock-based compensation expense, a $4.3 million increase in professional services fees associated with the continued development of our public company infrastructure, and a $3.0 million increase in other operating costs to support our business expansion. </w:t>
      </w:r>
    </w:p>
    <w:p>
      <w:pPr>
        <w:pStyle w:val="TextBody"/>
        <w:bidi w:val="0"/>
        <w:spacing w:lineRule="auto" w:line="288" w:before="360" w:after="283"/>
        <w:ind w:left="0" w:right="0" w:firstLine="576"/>
        <w:jc w:val="left"/>
        <w:rPr/>
      </w:pPr>
      <w:r>
        <w:rPr>
          <w:rFonts w:ascii="Times New Roman;serif" w:hAnsi="Times New Roman;serif"/>
          <w:b/>
          <w:i/>
          <w:color w:val="231F20"/>
          <w:sz w:val="20"/>
        </w:rPr>
        <w:t>Interest</w:t>
      </w:r>
      <w:r>
        <w:rPr>
          <w:color w:val="231F20"/>
        </w:rPr>
        <w:t xml:space="preserve"> </w:t>
      </w:r>
      <w:r>
        <w:rPr>
          <w:rFonts w:ascii="Times New Roman;serif" w:hAnsi="Times New Roman;serif"/>
          <w:b/>
          <w:i/>
          <w:color w:val="231F20"/>
          <w:sz w:val="20"/>
        </w:rPr>
        <w:t>and Other Income</w:t>
      </w:r>
    </w:p>
    <w:tbl>
      <w:tblPr>
        <w:tblW w:w="10355" w:type="dxa"/>
        <w:jc w:val="left"/>
        <w:tblInd w:w="0" w:type="dxa"/>
        <w:tblLayout w:type="fixed"/>
        <w:tblCellMar>
          <w:top w:w="28" w:type="dxa"/>
          <w:left w:w="28" w:type="dxa"/>
          <w:bottom w:w="28" w:type="dxa"/>
          <w:right w:w="28" w:type="dxa"/>
        </w:tblCellMar>
      </w:tblPr>
      <w:tblGrid>
        <w:gridCol w:w="261"/>
        <w:gridCol w:w="229"/>
        <w:gridCol w:w="231"/>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Interest</w:t>
            </w:r>
            <w:r>
              <w:rPr>
                <w:color w:val="231F20"/>
              </w:rPr>
              <w:t xml:space="preserve"> </w:t>
            </w:r>
            <w:r>
              <w:rPr>
                <w:rFonts w:ascii="Times New Roman;serif" w:hAnsi="Times New Roman;serif"/>
                <w:b w:val="false"/>
                <w:color w:val="231F20"/>
                <w:sz w:val="20"/>
              </w:rPr>
              <w:t xml:space="preserve">and other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240" w:after="283"/>
        <w:ind w:left="0" w:right="0" w:firstLine="576"/>
        <w:jc w:val="both"/>
        <w:rPr/>
      </w:pPr>
      <w:r>
        <w:rPr>
          <w:rFonts w:ascii="Times New Roman;serif" w:hAnsi="Times New Roman;serif"/>
          <w:b w:val="false"/>
          <w:color w:val="00000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three and six months ended </w:t>
      </w:r>
      <w:r>
        <w:rPr>
          <w:rFonts w:ascii="Times New Roman;serif" w:hAnsi="Times New Roman;serif"/>
          <w:b w:val="false"/>
          <w:color w:val="000000"/>
          <w:sz w:val="20"/>
        </w:rPr>
        <w:t>June 30, 2026, interest and other income</w:t>
      </w:r>
      <w:r>
        <w:rPr>
          <w:color w:val="231F20"/>
        </w:rPr>
        <w:t xml:space="preserve"> </w:t>
      </w:r>
      <w:r>
        <w:rPr>
          <w:rFonts w:ascii="Times New Roman;serif" w:hAnsi="Times New Roman;serif"/>
          <w:b w:val="false"/>
          <w:color w:val="000000"/>
          <w:sz w:val="20"/>
        </w:rPr>
        <w:t>increased $2.7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25%, and $3.8 million, or 18%,</w:t>
      </w:r>
      <w:r>
        <w:rPr>
          <w:color w:val="000000"/>
        </w:rPr>
        <w:t xml:space="preserve"> </w:t>
      </w:r>
      <w:r>
        <w:rPr>
          <w:rFonts w:ascii="Times New Roman;serif" w:hAnsi="Times New Roman;serif"/>
          <w:b w:val="false"/>
          <w:color w:val="000000"/>
          <w:sz w:val="20"/>
        </w:rPr>
        <w:t xml:space="preserve">compared to </w:t>
      </w:r>
      <w:r>
        <w:rPr>
          <w:rFonts w:ascii="Times New Roman;serif" w:hAnsi="Times New Roman;serif"/>
          <w:b w:val="false"/>
          <w:color w:val="231F20"/>
          <w:sz w:val="20"/>
        </w:rPr>
        <w:t>the same periods in 2025,</w:t>
      </w:r>
      <w:r>
        <w:rPr>
          <w:color w:val="231F20"/>
        </w:rPr>
        <w:t xml:space="preserve"> </w:t>
      </w:r>
      <w:r>
        <w:rPr>
          <w:rFonts w:ascii="Times New Roman;serif" w:hAnsi="Times New Roman;serif"/>
          <w:b w:val="false"/>
          <w:color w:val="231F20"/>
          <w:sz w:val="20"/>
        </w:rPr>
        <w:t>respectively, primarily</w:t>
      </w:r>
      <w:r>
        <w:rPr>
          <w:color w:val="231F20"/>
        </w:rPr>
        <w:t xml:space="preserve"> </w:t>
      </w:r>
      <w:r>
        <w:rPr>
          <w:rFonts w:ascii="Times New Roman;serif" w:hAnsi="Times New Roman;serif"/>
          <w:b w:val="false"/>
          <w:color w:val="231F20"/>
          <w:sz w:val="20"/>
        </w:rPr>
        <w:t>due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 xml:space="preserve">higher average balances of short-term investments and cash equivalents as a result of cash flow from operations, partially offset by lower interest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76"/>
        <w:jc w:val="left"/>
        <w:rPr/>
      </w:pPr>
      <w:r>
        <w:rPr>
          <w:rFonts w:ascii="Times New Roman;serif" w:hAnsi="Times New Roman;serif"/>
          <w:b/>
          <w:i/>
          <w:color w:val="231F20"/>
          <w:sz w:val="20"/>
          <w:shd w:fill="FFFFFF" w:val="clear"/>
        </w:rPr>
        <w:t>Income</w:t>
      </w:r>
      <w:r>
        <w:rPr>
          <w:color w:val="231F20"/>
          <w:shd w:fill="FFFFFF" w:val="clear"/>
        </w:rPr>
        <w:t xml:space="preserve"> </w:t>
      </w:r>
      <w:r>
        <w:rPr>
          <w:rFonts w:ascii="Times New Roman;serif" w:hAnsi="Times New Roman;serif"/>
          <w:b/>
          <w:i/>
          <w:color w:val="231F20"/>
          <w:sz w:val="20"/>
          <w:shd w:fill="FFFFFF" w:val="clear"/>
        </w:rPr>
        <w:t>Tax Benefit</w:t>
      </w:r>
    </w:p>
    <w:tbl>
      <w:tblPr>
        <w:tblW w:w="10670" w:type="dxa"/>
        <w:jc w:val="left"/>
        <w:tblInd w:w="0" w:type="dxa"/>
        <w:tblLayout w:type="fixed"/>
        <w:tblCellMar>
          <w:top w:w="28" w:type="dxa"/>
          <w:left w:w="28" w:type="dxa"/>
          <w:bottom w:w="28" w:type="dxa"/>
          <w:right w:w="28" w:type="dxa"/>
        </w:tblCellMar>
      </w:tblPr>
      <w:tblGrid>
        <w:gridCol w:w="261"/>
        <w:gridCol w:w="229"/>
        <w:gridCol w:w="231"/>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308"/>
        <w:gridCol w:w="308"/>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9"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Income</w:t>
            </w:r>
            <w:r>
              <w:rPr>
                <w:color w:val="231F20"/>
              </w:rPr>
              <w:t xml:space="preserve"> </w:t>
            </w:r>
            <w:r>
              <w:rPr>
                <w:rFonts w:ascii="Times New Roman;serif" w:hAnsi="Times New Roman;serif"/>
                <w:b w:val="false"/>
                <w:color w:val="231F20"/>
                <w:sz w:val="20"/>
              </w:rPr>
              <w:t xml:space="preserve">tax benefit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8,876 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436 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240" w:after="283"/>
        <w:ind w:left="0" w:right="0" w:firstLine="576"/>
        <w:jc w:val="both"/>
        <w:rPr/>
      </w:pPr>
      <w:r>
        <w:rPr>
          <w:rFonts w:ascii="Times New Roman;serif" w:hAnsi="Times New Roman;serif"/>
          <w:b w:val="false"/>
          <w:color w:val="231F20"/>
          <w:sz w:val="20"/>
          <w:shd w:fill="FFFFFF" w:val="clear"/>
        </w:rPr>
        <w:t>The benefit from income</w:t>
      </w:r>
      <w:r>
        <w:rPr>
          <w:color w:val="231F20"/>
          <w:shd w:fill="FFFFFF" w:val="clear"/>
        </w:rPr>
        <w:t xml:space="preserve"> </w:t>
      </w:r>
      <w:r>
        <w:rPr>
          <w:rFonts w:ascii="Times New Roman;serif" w:hAnsi="Times New Roman;serif"/>
          <w:b w:val="false"/>
          <w:color w:val="231F20"/>
          <w:sz w:val="20"/>
          <w:shd w:fill="FFFFFF" w:val="clear"/>
        </w:rPr>
        <w:t>tax in</w:t>
      </w:r>
      <w:r>
        <w:rPr>
          <w:rFonts w:ascii="Times New Roman;serif" w:hAnsi="Times New Roman;serif"/>
          <w:b w:val="false"/>
          <w:color w:val="000000"/>
          <w:sz w:val="20"/>
          <w:shd w:fill="FFFFFF" w:val="clear"/>
        </w:rPr>
        <w:t>creased $49.7 million</w:t>
      </w:r>
      <w:r>
        <w:rPr>
          <w:rFonts w:ascii="Times New Roman;serif" w:hAnsi="Times New Roman;serif"/>
          <w:b w:val="false"/>
          <w:color w:val="231F20"/>
          <w:sz w:val="20"/>
          <w:shd w:fill="FFFFFF" w:val="clear"/>
        </w:rPr>
        <w:t>,</w:t>
      </w:r>
      <w:r>
        <w:rPr>
          <w:color w:val="231F20"/>
          <w:shd w:fill="FFFFFF" w:val="clear"/>
        </w:rPr>
        <w:t xml:space="preserve"> </w:t>
      </w:r>
      <w:r>
        <w:rPr>
          <w:rFonts w:ascii="Times New Roman;serif" w:hAnsi="Times New Roman;serif"/>
          <w:b w:val="false"/>
          <w:color w:val="231F20"/>
          <w:sz w:val="20"/>
          <w:shd w:fill="FFFFFF" w:val="clear"/>
        </w:rPr>
        <w:t>or </w:t>
      </w:r>
      <w:r>
        <w:rPr>
          <w:rFonts w:ascii="Times New Roman;serif" w:hAnsi="Times New Roman;serif"/>
          <w:b w:val="false"/>
          <w:color w:val="000000"/>
          <w:sz w:val="20"/>
          <w:shd w:fill="FFFFFF" w:val="clear"/>
        </w:rPr>
        <w:t>8,876%</w:t>
      </w:r>
      <w:r>
        <w:rPr>
          <w:rFonts w:ascii="Times New Roman;serif" w:hAnsi="Times New Roman;serif"/>
          <w:b w:val="false"/>
          <w:color w:val="231F20"/>
          <w:sz w:val="20"/>
          <w:shd w:fill="FFFFFF" w:val="clear"/>
        </w:rPr>
        <w:t>,</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shd w:fill="FFFFFF" w:val="clear"/>
        </w:rPr>
        <w:t>$46.5 million</w:t>
      </w:r>
      <w:r>
        <w:rPr>
          <w:rFonts w:ascii="Times New Roman;serif" w:hAnsi="Times New Roman;serif"/>
          <w:b w:val="false"/>
          <w:color w:val="231F20"/>
          <w:sz w:val="20"/>
          <w:shd w:fill="FFFFFF" w:val="clear"/>
        </w:rPr>
        <w:t>,</w:t>
      </w:r>
      <w:r>
        <w:rPr>
          <w:color w:val="231F20"/>
          <w:shd w:fill="FFFFFF" w:val="clear"/>
        </w:rPr>
        <w:t xml:space="preserve"> </w:t>
      </w:r>
      <w:r>
        <w:rPr>
          <w:rFonts w:ascii="Times New Roman;serif" w:hAnsi="Times New Roman;serif"/>
          <w:b w:val="false"/>
          <w:color w:val="231F20"/>
          <w:sz w:val="20"/>
          <w:shd w:fill="FFFFFF" w:val="clear"/>
        </w:rPr>
        <w:t xml:space="preserve">or </w:t>
      </w:r>
      <w:r>
        <w:rPr>
          <w:rFonts w:ascii="Times New Roman;serif" w:hAnsi="Times New Roman;serif"/>
          <w:b w:val="false"/>
          <w:color w:val="000000"/>
          <w:sz w:val="20"/>
          <w:shd w:fill="FFFFFF" w:val="clear"/>
        </w:rPr>
        <w:t>436%</w:t>
      </w:r>
      <w:r>
        <w:rPr>
          <w:rFonts w:ascii="Times New Roman;serif" w:hAnsi="Times New Roman;serif"/>
          <w:b w:val="false"/>
          <w:color w:val="231F20"/>
          <w:sz w:val="20"/>
          <w:shd w:fill="FFFFFF" w:val="clear"/>
        </w:rPr>
        <w:t>, for</w:t>
      </w:r>
      <w:r>
        <w:rPr>
          <w:color w:val="231F20"/>
          <w:shd w:fill="FFFFFF" w:val="clear"/>
        </w:rPr>
        <w:t xml:space="preserve"> </w:t>
      </w:r>
      <w:r>
        <w:rPr>
          <w:rFonts w:ascii="Times New Roman;serif" w:hAnsi="Times New Roman;serif"/>
          <w:b w:val="false"/>
          <w:color w:val="231F20"/>
          <w:sz w:val="20"/>
          <w:shd w:fill="FFFFFF" w:val="clear"/>
        </w:rPr>
        <w:t>the</w:t>
      </w:r>
      <w:r>
        <w:rPr>
          <w:color w:val="231F20"/>
          <w:shd w:fill="FFFFFF" w:val="clear"/>
        </w:rPr>
        <w:t xml:space="preserve"> </w:t>
      </w:r>
      <w:r>
        <w:rPr>
          <w:rFonts w:ascii="Times New Roman;serif" w:hAnsi="Times New Roman;serif"/>
          <w:b w:val="false"/>
          <w:color w:val="231F20"/>
          <w:sz w:val="20"/>
          <w:shd w:fill="FFFFFF" w:val="clear"/>
        </w:rPr>
        <w:t xml:space="preserve">three and six months ended </w:t>
      </w:r>
      <w:r>
        <w:rPr>
          <w:rFonts w:ascii="Times New Roman;serif" w:hAnsi="Times New Roman;serif"/>
          <w:b w:val="false"/>
          <w:color w:val="000000"/>
          <w:sz w:val="20"/>
          <w:shd w:fill="FFFFFF" w:val="clear"/>
        </w:rPr>
        <w:t xml:space="preserve">June 30, 2026, respectively, </w:t>
      </w:r>
      <w:r>
        <w:rPr>
          <w:rFonts w:ascii="Times New Roman;serif" w:hAnsi="Times New Roman;serif"/>
          <w:b w:val="false"/>
          <w:color w:val="231F20"/>
          <w:sz w:val="20"/>
          <w:shd w:fill="FFFFFF" w:val="clear"/>
        </w:rPr>
        <w:t>compared</w:t>
      </w:r>
      <w:r>
        <w:rPr>
          <w:color w:val="231F20"/>
          <w:shd w:fill="FFFFFF" w:val="clear"/>
        </w:rPr>
        <w:t xml:space="preserve"> </w:t>
      </w:r>
      <w:r>
        <w:rPr>
          <w:rFonts w:ascii="Times New Roman;serif" w:hAnsi="Times New Roman;serif"/>
          <w:b w:val="false"/>
          <w:color w:val="231F20"/>
          <w:sz w:val="20"/>
          <w:shd w:fill="FFFFFF" w:val="clear"/>
        </w:rPr>
        <w:t>to the same periods in 2025</w:t>
      </w:r>
      <w:r>
        <w:rPr>
          <w:rFonts w:ascii="Times New Roman;serif" w:hAnsi="Times New Roman;serif"/>
          <w:b w:val="false"/>
          <w:color w:val="000000"/>
          <w:sz w:val="20"/>
          <w:shd w:fill="FFFFFF" w:val="clear"/>
        </w:rPr>
        <w:t>,</w:t>
      </w:r>
      <w:r>
        <w:rPr>
          <w:color w:val="231F20"/>
          <w:shd w:fill="FFFFFF" w:val="clear"/>
        </w:rPr>
        <w:t xml:space="preserve"> </w:t>
      </w:r>
      <w:r>
        <w:rPr>
          <w:rFonts w:ascii="Times New Roman;serif" w:hAnsi="Times New Roman;serif"/>
          <w:b w:val="false"/>
          <w:color w:val="231F20"/>
          <w:sz w:val="20"/>
          <w:shd w:fill="FFFFFF" w:val="clear"/>
        </w:rPr>
        <w:t>primarily due to an increase in excess tax benefits related to equity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0"/>
        </w:rPr>
        <w:t>Non-GAAP</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Measures</w:t>
      </w:r>
    </w:p>
    <w:p>
      <w:pPr>
        <w:pStyle w:val="TextBody"/>
        <w:bidi w:val="0"/>
        <w:spacing w:before="0" w:after="0"/>
        <w:jc w:val="left"/>
        <w:rPr/>
      </w:pPr>
      <w:r>
        <w:rPr/>
      </w:r>
    </w:p>
    <w:p>
      <w:pPr>
        <w:pStyle w:val="TextBody"/>
        <w:bidi w:val="0"/>
        <w:spacing w:lineRule="auto" w:line="288" w:before="0" w:after="0"/>
        <w:ind w:left="0" w:right="0" w:firstLine="576"/>
        <w:jc w:val="both"/>
        <w:rPr>
          <w:rFonts w:ascii="Times New Roman;serif" w:hAnsi="Times New Roman;serif"/>
          <w:b w:val="false"/>
          <w:color w:val="231F20"/>
          <w:sz w:val="20"/>
        </w:rPr>
      </w:pPr>
      <w:r>
        <w:rPr>
          <w:rFonts w:ascii="Times New Roman;serif" w:hAnsi="Times New Roman;serif"/>
          <w:b w:val="false"/>
          <w:color w:val="231F20"/>
          <w:sz w:val="20"/>
        </w:rPr>
        <w:t xml:space="preserve">This Quarterly Report on Form 10-Q contains certain financial measures that are not presented in accordance with generally accepted accounting principles in the United States (“GAAP”), which we use to supplement the performance measures in our condensed consolidated financial statements, which are presented in accordance with GAAP. We refer to these measures as “non-GAAP financial measures.” These non-GAAP financial measures include non-GAAP gross profit, non-GAAP gross margin, non-GAAP operating income, and non-GAAP net income. We use these non-GAAP financial measures for financial and operational decision-making and as a means to assist us in evaluating period-to-period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231F20"/>
          <w:sz w:val="20"/>
        </w:rPr>
      </w:pPr>
      <w:r>
        <w:rPr>
          <w:rFonts w:ascii="Times New Roman;serif" w:hAnsi="Times New Roman;serif"/>
          <w:b w:val="false"/>
          <w:color w:val="231F20"/>
          <w:sz w:val="20"/>
        </w:rPr>
        <w:t>comparisons. By excluding certain items that may not be indicative of our recurring core operating results, we believe that non-GAAP gross profit, non-GAAP gross margin, non-GAAP operating income, and non-GAAP net income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lineRule="auto" w:line="288" w:before="280" w:after="283"/>
        <w:ind w:left="0" w:right="0" w:firstLine="576"/>
        <w:jc w:val="left"/>
        <w:rPr/>
      </w:pPr>
      <w:r>
        <w:rPr>
          <w:rFonts w:ascii="Times New Roman;serif" w:hAnsi="Times New Roman;serif"/>
          <w:b/>
          <w:i/>
          <w:color w:val="231F20"/>
          <w:sz w:val="20"/>
        </w:rPr>
        <w:t>Non-GAAP</w:t>
      </w:r>
      <w:r>
        <w:rPr>
          <w:color w:val="231F20"/>
        </w:rPr>
        <w:t xml:space="preserve"> </w:t>
      </w:r>
      <w:r>
        <w:rPr>
          <w:rFonts w:ascii="Times New Roman;serif" w:hAnsi="Times New Roman;serif"/>
          <w:b/>
          <w:i/>
          <w:color w:val="231F20"/>
          <w:sz w:val="20"/>
        </w:rPr>
        <w:t>Gross Profit and Non-GAAP Gross Margin</w:t>
      </w:r>
    </w:p>
    <w:p>
      <w:pPr>
        <w:pStyle w:val="TextBody"/>
        <w:bidi w:val="0"/>
        <w:spacing w:lineRule="auto" w:line="288" w:before="120" w:after="283"/>
        <w:ind w:left="0" w:right="0" w:firstLine="576"/>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define</w:t>
      </w:r>
      <w:r>
        <w:rPr>
          <w:color w:val="231F20"/>
        </w:rPr>
        <w:t xml:space="preserve"> </w:t>
      </w:r>
      <w:r>
        <w:rPr>
          <w:rFonts w:ascii="Times New Roman;serif" w:hAnsi="Times New Roman;serif"/>
          <w:b w:val="false"/>
          <w:color w:val="231F20"/>
          <w:sz w:val="20"/>
        </w:rPr>
        <w:t>non-GAAP gross profit as gross profit presented</w:t>
      </w:r>
      <w:r>
        <w:rPr>
          <w:color w:val="231F20"/>
        </w:rPr>
        <w:t xml:space="preserve"> </w:t>
      </w:r>
      <w:r>
        <w:rPr>
          <w:rFonts w:ascii="Times New Roman;serif" w:hAnsi="Times New Roman;serif"/>
          <w:b w:val="false"/>
          <w:color w:val="231F20"/>
          <w:sz w:val="20"/>
        </w:rPr>
        <w:t>in accordance</w:t>
      </w:r>
      <w:r>
        <w:rPr>
          <w:color w:val="231F20"/>
        </w:rPr>
        <w:t xml:space="preserve"> </w:t>
      </w:r>
      <w:r>
        <w:rPr>
          <w:rFonts w:ascii="Times New Roman;serif" w:hAnsi="Times New Roman;serif"/>
          <w:b w:val="false"/>
          <w:color w:val="231F20"/>
          <w:sz w:val="20"/>
        </w:rPr>
        <w:t>with GAAP, adjusted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exclude</w:t>
      </w:r>
      <w:r>
        <w:rPr>
          <w:color w:val="231F20"/>
        </w:rPr>
        <w:t xml:space="preserve"> </w:t>
      </w:r>
      <w:r>
        <w:rPr>
          <w:rFonts w:ascii="Times New Roman;serif" w:hAnsi="Times New Roman;serif"/>
          <w:b w:val="false"/>
          <w:color w:val="231F20"/>
          <w:sz w:val="20"/>
        </w:rPr>
        <w:t>non-cash 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The non-GAAP gross margin is non-GAAP gross profit divided by revenue. 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non-GAAP gross profit because</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consider</w:t>
      </w:r>
      <w:r>
        <w:rPr>
          <w:color w:val="231F20"/>
        </w:rPr>
        <w:t xml:space="preserve"> </w:t>
      </w:r>
      <w:r>
        <w:rPr>
          <w:rFonts w:ascii="Times New Roman;serif" w:hAnsi="Times New Roman;serif"/>
          <w:b w:val="false"/>
          <w:color w:val="231F20"/>
          <w:sz w:val="20"/>
        </w:rPr>
        <w:t>non-GAAP gross profit to</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useful</w:t>
      </w:r>
      <w:r>
        <w:rPr>
          <w:color w:val="231F20"/>
        </w:rPr>
        <w:t xml:space="preserve"> </w:t>
      </w:r>
      <w:r>
        <w:rPr>
          <w:rFonts w:ascii="Times New Roman;serif" w:hAnsi="Times New Roman;serif"/>
          <w:b w:val="false"/>
          <w:color w:val="231F20"/>
          <w:sz w:val="20"/>
        </w:rPr>
        <w:t>metric</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investors</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users</w:t>
      </w:r>
      <w:r>
        <w:rPr>
          <w:color w:val="231F20"/>
        </w:rPr>
        <w:t xml:space="preserve"> </w:t>
      </w:r>
      <w:r>
        <w:rPr>
          <w:rFonts w:ascii="Times New Roman;serif" w:hAnsi="Times New Roman;serif"/>
          <w:b w:val="false"/>
          <w:color w:val="231F20"/>
          <w:sz w:val="20"/>
        </w:rPr>
        <w:t>of our financial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in evaluating</w:t>
      </w:r>
      <w:r>
        <w:rPr>
          <w:color w:val="231F20"/>
        </w:rPr>
        <w:t xml:space="preserve"> </w:t>
      </w:r>
      <w:r>
        <w:rPr>
          <w:rFonts w:ascii="Times New Roman;serif" w:hAnsi="Times New Roman;serif"/>
          <w:b w:val="false"/>
          <w:color w:val="231F20"/>
          <w:sz w:val="20"/>
        </w:rPr>
        <w:t>our operating</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as it</w:t>
      </w:r>
      <w:r>
        <w:rPr>
          <w:color w:val="231F20"/>
        </w:rPr>
        <w:t xml:space="preserve"> </w:t>
      </w:r>
      <w:r>
        <w:rPr>
          <w:rFonts w:ascii="Times New Roman;serif" w:hAnsi="Times New Roman;serif"/>
          <w:b w:val="false"/>
          <w:color w:val="231F20"/>
          <w:sz w:val="20"/>
        </w:rPr>
        <w:t>excludes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impact</w:t>
      </w:r>
      <w:r>
        <w:rPr>
          <w:color w:val="231F20"/>
        </w:rPr>
        <w:t xml:space="preserve"> </w:t>
      </w:r>
      <w:r>
        <w:rPr>
          <w:rFonts w:ascii="Times New Roman;serif" w:hAnsi="Times New Roman;serif"/>
          <w:b w:val="false"/>
          <w:color w:val="231F20"/>
          <w:sz w:val="20"/>
        </w:rPr>
        <w:t>of non-cash stock-based compensation,</w:t>
      </w:r>
      <w:r>
        <w:rPr>
          <w:color w:val="231F20"/>
        </w:rPr>
        <w:t xml:space="preserve"> </w:t>
      </w:r>
      <w:r>
        <w:rPr>
          <w:rFonts w:ascii="Times New Roman;serif" w:hAnsi="Times New Roman;serif"/>
          <w:b w:val="false"/>
          <w:color w:val="231F20"/>
          <w:sz w:val="20"/>
        </w:rPr>
        <w:t>a charge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can vary</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period</w:t>
      </w:r>
      <w:r>
        <w:rPr>
          <w:color w:val="231F20"/>
        </w:rPr>
        <w:t xml:space="preserve"> </w:t>
      </w:r>
      <w:r>
        <w:rPr>
          <w:rFonts w:ascii="Times New Roman;serif" w:hAnsi="Times New Roman;serif"/>
          <w:b w:val="false"/>
          <w:color w:val="231F20"/>
          <w:sz w:val="20"/>
        </w:rPr>
        <w:t>to period</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reasons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unrelated</w:t>
      </w:r>
      <w:r>
        <w:rPr>
          <w:color w:val="231F20"/>
        </w:rPr>
        <w:t xml:space="preserve"> </w:t>
      </w:r>
      <w:r>
        <w:rPr>
          <w:rFonts w:ascii="Times New Roman;serif" w:hAnsi="Times New Roman;serif"/>
          <w:b w:val="false"/>
          <w:color w:val="231F20"/>
          <w:sz w:val="20"/>
        </w:rPr>
        <w:t>to our core operating</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This</w:t>
      </w:r>
      <w:r>
        <w:rPr>
          <w:color w:val="231F20"/>
        </w:rPr>
        <w:t xml:space="preserve"> </w:t>
      </w:r>
      <w:r>
        <w:rPr>
          <w:rFonts w:ascii="Times New Roman;serif" w:hAnsi="Times New Roman;serif"/>
          <w:b w:val="false"/>
          <w:color w:val="231F20"/>
          <w:sz w:val="20"/>
        </w:rPr>
        <w:t>metric</w:t>
      </w:r>
      <w:r>
        <w:rPr>
          <w:color w:val="231F20"/>
        </w:rPr>
        <w:t xml:space="preserve"> </w:t>
      </w:r>
      <w:r>
        <w:rPr>
          <w:rFonts w:ascii="Times New Roman;serif" w:hAnsi="Times New Roman;serif"/>
          <w:b w:val="false"/>
          <w:color w:val="231F20"/>
          <w:sz w:val="20"/>
        </w:rPr>
        <w:t>also</w:t>
      </w:r>
      <w:r>
        <w:rPr>
          <w:color w:val="231F20"/>
        </w:rPr>
        <w:t xml:space="preserve"> </w:t>
      </w:r>
      <w:r>
        <w:rPr>
          <w:rFonts w:ascii="Times New Roman;serif" w:hAnsi="Times New Roman;serif"/>
          <w:b w:val="false"/>
          <w:color w:val="231F20"/>
          <w:sz w:val="20"/>
        </w:rPr>
        <w:t>provides</w:t>
      </w:r>
      <w:r>
        <w:rPr>
          <w:color w:val="231F20"/>
        </w:rPr>
        <w:t xml:space="preserve"> </w:t>
      </w:r>
      <w:r>
        <w:rPr>
          <w:rFonts w:ascii="Times New Roman;serif" w:hAnsi="Times New Roman;serif"/>
          <w:b w:val="false"/>
          <w:color w:val="231F20"/>
          <w:sz w:val="20"/>
        </w:rPr>
        <w:t>investors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users</w:t>
      </w:r>
      <w:r>
        <w:rPr>
          <w:color w:val="231F20"/>
        </w:rPr>
        <w:t xml:space="preserve"> </w:t>
      </w:r>
      <w:r>
        <w:rPr>
          <w:rFonts w:ascii="Times New Roman;serif" w:hAnsi="Times New Roman;serif"/>
          <w:b w:val="false"/>
          <w:color w:val="231F20"/>
          <w:sz w:val="20"/>
        </w:rPr>
        <w:t>of our financial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with an additional</w:t>
      </w:r>
      <w:r>
        <w:rPr>
          <w:color w:val="231F20"/>
        </w:rPr>
        <w:t xml:space="preserve"> </w:t>
      </w:r>
      <w:r>
        <w:rPr>
          <w:rFonts w:ascii="Times New Roman;serif" w:hAnsi="Times New Roman;serif"/>
          <w:b w:val="false"/>
          <w:color w:val="231F20"/>
          <w:sz w:val="20"/>
        </w:rPr>
        <w:t>tool</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eliminate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effects</w:t>
      </w:r>
      <w:r>
        <w:rPr>
          <w:color w:val="231F20"/>
        </w:rPr>
        <w:t xml:space="preserve"> </w:t>
      </w:r>
      <w:r>
        <w:rPr>
          <w:rFonts w:ascii="Times New Roman;serif" w:hAnsi="Times New Roman;serif"/>
          <w:b w:val="false"/>
          <w:color w:val="231F20"/>
          <w:sz w:val="20"/>
        </w:rPr>
        <w:t>of items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vary</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different</w:t>
      </w:r>
      <w:r>
        <w:rPr>
          <w:color w:val="231F20"/>
        </w:rPr>
        <w:t xml:space="preserve"> </w:t>
      </w:r>
      <w:r>
        <w:rPr>
          <w:rFonts w:ascii="Times New Roman;serif" w:hAnsi="Times New Roman;serif"/>
          <w:b w:val="false"/>
          <w:color w:val="231F20"/>
          <w:sz w:val="20"/>
        </w:rPr>
        <w:t>companies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reasons</w:t>
      </w:r>
      <w:r>
        <w:rPr>
          <w:color w:val="231F20"/>
        </w:rPr>
        <w:t xml:space="preserve"> </w:t>
      </w:r>
      <w:r>
        <w:rPr>
          <w:rFonts w:ascii="Times New Roman;serif" w:hAnsi="Times New Roman;serif"/>
          <w:b w:val="false"/>
          <w:color w:val="231F20"/>
          <w:sz w:val="20"/>
        </w:rPr>
        <w:t>unrelated</w:t>
      </w:r>
      <w:r>
        <w:rPr>
          <w:color w:val="231F20"/>
        </w:rPr>
        <w:t xml:space="preserve"> </w:t>
      </w:r>
      <w:r>
        <w:rPr>
          <w:rFonts w:ascii="Times New Roman;serif" w:hAnsi="Times New Roman;serif"/>
          <w:b w:val="false"/>
          <w:color w:val="231F20"/>
          <w:sz w:val="20"/>
        </w:rPr>
        <w:t>to core</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performance.</w:t>
      </w:r>
    </w:p>
    <w:p>
      <w:pPr>
        <w:pStyle w:val="TextBody"/>
        <w:bidi w:val="0"/>
        <w:spacing w:lineRule="auto" w:line="288" w:before="240" w:after="283"/>
        <w:ind w:left="0" w:right="0" w:firstLine="576"/>
        <w:jc w:val="both"/>
        <w:rPr/>
      </w:pP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reconciliation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GAAP gross profit and GAAP gross margin,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directly</w:t>
      </w:r>
      <w:r>
        <w:rPr>
          <w:color w:val="231F20"/>
        </w:rPr>
        <w:t xml:space="preserve"> </w:t>
      </w:r>
      <w:r>
        <w:rPr>
          <w:rFonts w:ascii="Times New Roman;serif" w:hAnsi="Times New Roman;serif"/>
          <w:b w:val="false"/>
          <w:color w:val="231F20"/>
          <w:sz w:val="20"/>
        </w:rPr>
        <w:t>comparable</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measures,</w:t>
      </w:r>
      <w:r>
        <w:rPr>
          <w:color w:val="231F20"/>
        </w:rPr>
        <w:t xml:space="preserve"> </w:t>
      </w:r>
      <w:r>
        <w:rPr>
          <w:rFonts w:ascii="Times New Roman;serif" w:hAnsi="Times New Roman;serif"/>
          <w:b w:val="false"/>
          <w:color w:val="231F20"/>
          <w:sz w:val="20"/>
        </w:rPr>
        <w:t>to non-GAAP</w:t>
      </w:r>
      <w:r>
        <w:rPr>
          <w:color w:val="231F20"/>
        </w:rPr>
        <w:t xml:space="preserve"> </w:t>
      </w:r>
      <w:r>
        <w:rPr>
          <w:rFonts w:ascii="Times New Roman;serif" w:hAnsi="Times New Roman;serif"/>
          <w:b w:val="false"/>
          <w:color w:val="231F20"/>
          <w:sz w:val="20"/>
        </w:rPr>
        <w:t>gross profit</w:t>
      </w:r>
      <w:r>
        <w:rPr>
          <w:color w:val="231F20"/>
        </w:rPr>
        <w:t xml:space="preserve"> </w:t>
      </w:r>
      <w:r>
        <w:rPr>
          <w:rFonts w:ascii="Times New Roman;serif" w:hAnsi="Times New Roman;serif"/>
          <w:b w:val="false"/>
          <w:color w:val="231F20"/>
          <w:sz w:val="20"/>
        </w:rPr>
        <w:t>and non-GAAP gross margin is</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below:</w:t>
      </w:r>
    </w:p>
    <w:tbl>
      <w:tblPr>
        <w:tblW w:w="9302" w:type="dxa"/>
        <w:jc w:val="center"/>
        <w:tblInd w:w="0" w:type="dxa"/>
        <w:tblLayout w:type="fixed"/>
        <w:tblCellMar>
          <w:top w:w="28" w:type="dxa"/>
          <w:left w:w="28" w:type="dxa"/>
          <w:bottom w:w="28" w:type="dxa"/>
          <w:right w:w="28" w:type="dxa"/>
        </w:tblCellMar>
      </w:tblPr>
      <w:tblGrid>
        <w:gridCol w:w="1101"/>
        <w:gridCol w:w="967"/>
        <w:gridCol w:w="97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1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 xml:space="preserve">GAAP gross profit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287,567 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145,563 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522,708 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264,974 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2,191 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Non-GAAP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289,259 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145,916 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524,899 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265,289 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GAAP 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 xml:space="preserve">Non-GAAP gross margin </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80" w:after="120"/>
        <w:ind w:left="0" w:right="0" w:firstLine="576"/>
        <w:jc w:val="both"/>
        <w:rPr/>
      </w:pPr>
      <w:r>
        <w:rPr>
          <w:rFonts w:ascii="Times New Roman;serif" w:hAnsi="Times New Roman;serif"/>
          <w:b/>
          <w:i/>
          <w:color w:val="231F20"/>
          <w:sz w:val="20"/>
        </w:rPr>
        <w:t>Non-GAAP</w:t>
      </w:r>
      <w:r>
        <w:rPr>
          <w:color w:val="231F20"/>
        </w:rPr>
        <w:t xml:space="preserve"> </w:t>
      </w:r>
      <w:r>
        <w:rPr>
          <w:rFonts w:ascii="Times New Roman;serif" w:hAnsi="Times New Roman;serif"/>
          <w:b/>
          <w:i/>
          <w:color w:val="231F20"/>
          <w:sz w:val="20"/>
        </w:rPr>
        <w:t>Operating</w:t>
      </w:r>
      <w:r>
        <w:rPr>
          <w:color w:val="231F20"/>
        </w:rPr>
        <w:t xml:space="preserve"> </w:t>
      </w:r>
      <w:r>
        <w:rPr>
          <w:rFonts w:ascii="Times New Roman;serif" w:hAnsi="Times New Roman;serif"/>
          <w:b/>
          <w:i/>
          <w:color w:val="231F20"/>
          <w:sz w:val="20"/>
        </w:rPr>
        <w:t>Income and Non-GAAP Operating Margin</w:t>
      </w:r>
    </w:p>
    <w:p>
      <w:pPr>
        <w:pStyle w:val="TextBody"/>
        <w:bidi w:val="0"/>
        <w:spacing w:lineRule="auto" w:line="288" w:before="120" w:after="283"/>
        <w:ind w:left="0" w:right="0" w:firstLine="576"/>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define</w:t>
      </w:r>
      <w:r>
        <w:rPr>
          <w:color w:val="231F20"/>
        </w:rPr>
        <w:t xml:space="preserve"> </w:t>
      </w:r>
      <w:r>
        <w:rPr>
          <w:rFonts w:ascii="Times New Roman;serif" w:hAnsi="Times New Roman;serif"/>
          <w:b w:val="false"/>
          <w:color w:val="231F20"/>
          <w:sz w:val="20"/>
        </w:rPr>
        <w:t>non-GAAP operating</w:t>
      </w:r>
      <w:r>
        <w:rPr>
          <w:color w:val="231F20"/>
        </w:rPr>
        <w:t xml:space="preserve"> </w:t>
      </w:r>
      <w:r>
        <w:rPr>
          <w:rFonts w:ascii="Times New Roman;serif" w:hAnsi="Times New Roman;serif"/>
          <w:b w:val="false"/>
          <w:color w:val="231F20"/>
          <w:sz w:val="20"/>
        </w:rPr>
        <w:t>income</w:t>
      </w:r>
      <w:r>
        <w:rPr>
          <w:color w:val="231F20"/>
        </w:rPr>
        <w:t xml:space="preserve"> </w:t>
      </w:r>
      <w:r>
        <w:rPr>
          <w:rFonts w:ascii="Times New Roman;serif" w:hAnsi="Times New Roman;serif"/>
          <w:b w:val="false"/>
          <w:color w:val="231F20"/>
          <w:sz w:val="20"/>
        </w:rPr>
        <w:t>as operating</w:t>
      </w:r>
      <w:r>
        <w:rPr>
          <w:color w:val="231F20"/>
        </w:rPr>
        <w:t xml:space="preserve"> </w:t>
      </w:r>
      <w:r>
        <w:rPr>
          <w:rFonts w:ascii="Times New Roman;serif" w:hAnsi="Times New Roman;serif"/>
          <w:b w:val="false"/>
          <w:color w:val="231F20"/>
          <w:sz w:val="20"/>
        </w:rPr>
        <w:t>income presented</w:t>
      </w:r>
      <w:r>
        <w:rPr>
          <w:color w:val="231F20"/>
        </w:rPr>
        <w:t xml:space="preserve"> </w:t>
      </w:r>
      <w:r>
        <w:rPr>
          <w:rFonts w:ascii="Times New Roman;serif" w:hAnsi="Times New Roman;serif"/>
          <w:b w:val="false"/>
          <w:color w:val="231F20"/>
          <w:sz w:val="20"/>
        </w:rPr>
        <w:t>in accordance</w:t>
      </w:r>
      <w:r>
        <w:rPr>
          <w:color w:val="231F20"/>
        </w:rPr>
        <w:t xml:space="preserve"> </w:t>
      </w:r>
      <w:r>
        <w:rPr>
          <w:rFonts w:ascii="Times New Roman;serif" w:hAnsi="Times New Roman;serif"/>
          <w:b w:val="false"/>
          <w:color w:val="231F20"/>
          <w:sz w:val="20"/>
        </w:rPr>
        <w:t>with GAAP, adjusted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exclude</w:t>
      </w:r>
      <w:r>
        <w:rPr>
          <w:color w:val="231F20"/>
        </w:rPr>
        <w:t xml:space="preserve"> </w:t>
      </w:r>
      <w:r>
        <w:rPr>
          <w:rFonts w:ascii="Times New Roman;serif" w:hAnsi="Times New Roman;serif"/>
          <w:b w:val="false"/>
          <w:color w:val="231F20"/>
          <w:sz w:val="20"/>
        </w:rPr>
        <w:t>non-cash 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expenses and acquisition-related costs.</w:t>
      </w:r>
      <w:r>
        <w:rPr>
          <w:color w:val="231F20"/>
        </w:rPr>
        <w:t xml:space="preserve"> </w:t>
      </w:r>
      <w:r>
        <w:rPr>
          <w:rFonts w:ascii="Times New Roman;serif" w:hAnsi="Times New Roman;serif"/>
          <w:b w:val="false"/>
          <w:color w:val="231F20"/>
          <w:sz w:val="20"/>
        </w:rPr>
        <w:t>We define non-GAAP operating margin as non-GAAP operating income divided by revenue. 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non-GAAP operating</w:t>
      </w:r>
      <w:r>
        <w:rPr>
          <w:color w:val="231F20"/>
        </w:rPr>
        <w:t xml:space="preserve"> </w:t>
      </w:r>
      <w:r>
        <w:rPr>
          <w:rFonts w:ascii="Times New Roman;serif" w:hAnsi="Times New Roman;serif"/>
          <w:b w:val="false"/>
          <w:color w:val="231F20"/>
          <w:sz w:val="20"/>
        </w:rPr>
        <w:t>income and non-GAAP operating margin because</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consider</w:t>
      </w:r>
      <w:r>
        <w:rPr>
          <w:color w:val="231F20"/>
        </w:rPr>
        <w:t xml:space="preserve"> </w:t>
      </w:r>
      <w:r>
        <w:rPr>
          <w:rFonts w:ascii="Times New Roman;serif" w:hAnsi="Times New Roman;serif"/>
          <w:b w:val="false"/>
          <w:color w:val="231F20"/>
          <w:sz w:val="20"/>
        </w:rPr>
        <w:t>them</w:t>
      </w:r>
      <w:r>
        <w:rPr>
          <w:color w:val="231F20"/>
        </w:rPr>
        <w:t xml:space="preserve"> </w:t>
      </w:r>
      <w:r>
        <w:rPr>
          <w:rFonts w:ascii="Times New Roman;serif" w:hAnsi="Times New Roman;serif"/>
          <w:b w:val="false"/>
          <w:color w:val="231F20"/>
          <w:sz w:val="20"/>
        </w:rPr>
        <w:t>useful</w:t>
      </w:r>
      <w:r>
        <w:rPr>
          <w:color w:val="231F20"/>
        </w:rPr>
        <w:t xml:space="preserve"> </w:t>
      </w:r>
      <w:r>
        <w:rPr>
          <w:rFonts w:ascii="Times New Roman;serif" w:hAnsi="Times New Roman;serif"/>
          <w:b w:val="false"/>
          <w:color w:val="231F20"/>
          <w:sz w:val="20"/>
        </w:rPr>
        <w:t>metrics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investors</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users</w:t>
      </w:r>
      <w:r>
        <w:rPr>
          <w:color w:val="231F20"/>
        </w:rPr>
        <w:t xml:space="preserve"> </w:t>
      </w:r>
      <w:r>
        <w:rPr>
          <w:rFonts w:ascii="Times New Roman;serif" w:hAnsi="Times New Roman;serif"/>
          <w:b w:val="false"/>
          <w:color w:val="231F20"/>
          <w:sz w:val="20"/>
        </w:rPr>
        <w:t>of our financial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in evaluating</w:t>
      </w:r>
      <w:r>
        <w:rPr>
          <w:color w:val="231F20"/>
        </w:rPr>
        <w:t xml:space="preserve"> </w:t>
      </w:r>
      <w:r>
        <w:rPr>
          <w:rFonts w:ascii="Times New Roman;serif" w:hAnsi="Times New Roman;serif"/>
          <w:b w:val="false"/>
          <w:color w:val="231F20"/>
          <w:sz w:val="20"/>
        </w:rPr>
        <w:t>our operating</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it</w:t>
      </w:r>
      <w:r>
        <w:rPr>
          <w:color w:val="231F20"/>
        </w:rPr>
        <w:t xml:space="preserve"> </w:t>
      </w:r>
      <w:r>
        <w:rPr>
          <w:rFonts w:ascii="Times New Roman;serif" w:hAnsi="Times New Roman;serif"/>
          <w:b w:val="false"/>
          <w:color w:val="231F20"/>
          <w:sz w:val="20"/>
        </w:rPr>
        <w:t>excludes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impact</w:t>
      </w:r>
      <w:r>
        <w:rPr>
          <w:color w:val="231F20"/>
        </w:rPr>
        <w:t xml:space="preserve"> </w:t>
      </w:r>
      <w:r>
        <w:rPr>
          <w:rFonts w:ascii="Times New Roman;serif" w:hAnsi="Times New Roman;serif"/>
          <w:b w:val="false"/>
          <w:color w:val="231F20"/>
          <w:sz w:val="20"/>
        </w:rPr>
        <w:t>of non-cash stock-based compensation expense and acquisition-related costs, charges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can vary</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period</w:t>
      </w:r>
      <w:r>
        <w:rPr>
          <w:color w:val="231F20"/>
        </w:rPr>
        <w:t xml:space="preserve"> </w:t>
      </w:r>
      <w:r>
        <w:rPr>
          <w:rFonts w:ascii="Times New Roman;serif" w:hAnsi="Times New Roman;serif"/>
          <w:b w:val="false"/>
          <w:color w:val="231F20"/>
          <w:sz w:val="20"/>
        </w:rPr>
        <w:t>to period or are one time charges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reasons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unrelated</w:t>
      </w:r>
      <w:r>
        <w:rPr>
          <w:color w:val="231F20"/>
        </w:rPr>
        <w:t xml:space="preserve"> </w:t>
      </w:r>
      <w:r>
        <w:rPr>
          <w:rFonts w:ascii="Times New Roman;serif" w:hAnsi="Times New Roman;serif"/>
          <w:b w:val="false"/>
          <w:color w:val="231F20"/>
          <w:sz w:val="20"/>
        </w:rPr>
        <w:t>to our core operating</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These</w:t>
      </w:r>
      <w:r>
        <w:rPr>
          <w:color w:val="231F20"/>
        </w:rPr>
        <w:t xml:space="preserve"> </w:t>
      </w:r>
      <w:r>
        <w:rPr>
          <w:rFonts w:ascii="Times New Roman;serif" w:hAnsi="Times New Roman;serif"/>
          <w:b w:val="false"/>
          <w:color w:val="231F20"/>
          <w:sz w:val="20"/>
        </w:rPr>
        <w:t>metrics</w:t>
      </w:r>
      <w:r>
        <w:rPr>
          <w:color w:val="231F20"/>
        </w:rPr>
        <w:t xml:space="preserve"> </w:t>
      </w:r>
      <w:r>
        <w:rPr>
          <w:rFonts w:ascii="Times New Roman;serif" w:hAnsi="Times New Roman;serif"/>
          <w:b w:val="false"/>
          <w:color w:val="231F20"/>
          <w:sz w:val="20"/>
        </w:rPr>
        <w:t>also</w:t>
      </w:r>
      <w:r>
        <w:rPr>
          <w:color w:val="231F20"/>
        </w:rPr>
        <w:t xml:space="preserve"> </w:t>
      </w:r>
      <w:r>
        <w:rPr>
          <w:rFonts w:ascii="Times New Roman;serif" w:hAnsi="Times New Roman;serif"/>
          <w:b w:val="false"/>
          <w:color w:val="231F20"/>
          <w:sz w:val="20"/>
        </w:rPr>
        <w:t>provide</w:t>
      </w:r>
      <w:r>
        <w:rPr>
          <w:color w:val="231F20"/>
        </w:rPr>
        <w:t xml:space="preserve"> </w:t>
      </w:r>
      <w:r>
        <w:rPr>
          <w:rFonts w:ascii="Times New Roman;serif" w:hAnsi="Times New Roman;serif"/>
          <w:b w:val="false"/>
          <w:color w:val="231F20"/>
          <w:sz w:val="20"/>
        </w:rPr>
        <w:t>investors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users</w:t>
      </w:r>
      <w:r>
        <w:rPr>
          <w:color w:val="231F20"/>
        </w:rPr>
        <w:t xml:space="preserve"> </w:t>
      </w:r>
      <w:r>
        <w:rPr>
          <w:rFonts w:ascii="Times New Roman;serif" w:hAnsi="Times New Roman;serif"/>
          <w:b w:val="false"/>
          <w:color w:val="231F20"/>
          <w:sz w:val="20"/>
        </w:rPr>
        <w:t>of our financial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with an additional</w:t>
      </w:r>
      <w:r>
        <w:rPr>
          <w:color w:val="231F20"/>
        </w:rPr>
        <w:t xml:space="preserve"> </w:t>
      </w:r>
      <w:r>
        <w:rPr>
          <w:rFonts w:ascii="Times New Roman;serif" w:hAnsi="Times New Roman;serif"/>
          <w:b w:val="false"/>
          <w:color w:val="231F20"/>
          <w:sz w:val="20"/>
        </w:rPr>
        <w:t>tool to eliminate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effects</w:t>
      </w:r>
      <w:r>
        <w:rPr>
          <w:color w:val="231F20"/>
        </w:rPr>
        <w:t xml:space="preserve"> </w:t>
      </w:r>
      <w:r>
        <w:rPr>
          <w:rFonts w:ascii="Times New Roman;serif" w:hAnsi="Times New Roman;serif"/>
          <w:b w:val="false"/>
          <w:color w:val="231F20"/>
          <w:sz w:val="20"/>
        </w:rPr>
        <w:t>of items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vary</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different</w:t>
      </w:r>
      <w:r>
        <w:rPr>
          <w:color w:val="231F20"/>
        </w:rPr>
        <w:t xml:space="preserve"> </w:t>
      </w:r>
      <w:r>
        <w:rPr>
          <w:rFonts w:ascii="Times New Roman;serif" w:hAnsi="Times New Roman;serif"/>
          <w:b w:val="false"/>
          <w:color w:val="231F20"/>
          <w:sz w:val="20"/>
        </w:rPr>
        <w:t>companies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reasons</w:t>
      </w:r>
      <w:r>
        <w:rPr>
          <w:color w:val="231F20"/>
        </w:rPr>
        <w:t xml:space="preserve"> </w:t>
      </w:r>
      <w:r>
        <w:rPr>
          <w:rFonts w:ascii="Times New Roman;serif" w:hAnsi="Times New Roman;serif"/>
          <w:b w:val="false"/>
          <w:color w:val="231F20"/>
          <w:sz w:val="20"/>
        </w:rPr>
        <w:t>unrelated</w:t>
      </w:r>
      <w:r>
        <w:rPr>
          <w:color w:val="231F20"/>
        </w:rPr>
        <w:t xml:space="preserve"> </w:t>
      </w:r>
      <w:r>
        <w:rPr>
          <w:rFonts w:ascii="Times New Roman;serif" w:hAnsi="Times New Roman;serif"/>
          <w:b w:val="false"/>
          <w:color w:val="231F20"/>
          <w:sz w:val="20"/>
        </w:rPr>
        <w:t>to core</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576"/>
        <w:jc w:val="both"/>
        <w:rPr/>
      </w:pP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reconciliation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operating income and GAAP operating margin,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directly</w:t>
      </w:r>
      <w:r>
        <w:rPr>
          <w:color w:val="231F20"/>
        </w:rPr>
        <w:t xml:space="preserve"> </w:t>
      </w:r>
      <w:r>
        <w:rPr>
          <w:rFonts w:ascii="Times New Roman;serif" w:hAnsi="Times New Roman;serif"/>
          <w:b w:val="false"/>
          <w:color w:val="231F20"/>
          <w:sz w:val="20"/>
        </w:rPr>
        <w:t>comparable</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measures,</w:t>
      </w:r>
      <w:r>
        <w:rPr>
          <w:color w:val="231F20"/>
        </w:rPr>
        <w:t xml:space="preserve"> </w:t>
      </w:r>
      <w:r>
        <w:rPr>
          <w:rFonts w:ascii="Times New Roman;serif" w:hAnsi="Times New Roman;serif"/>
          <w:b w:val="false"/>
          <w:color w:val="231F20"/>
          <w:sz w:val="20"/>
        </w:rPr>
        <w:t>to non-GAAP</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income and non-GAAP operating margin is</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below:</w:t>
      </w:r>
    </w:p>
    <w:tbl>
      <w:tblPr>
        <w:tblW w:w="9183" w:type="dxa"/>
        <w:jc w:val="center"/>
        <w:tblInd w:w="0" w:type="dxa"/>
        <w:tblLayout w:type="fixed"/>
        <w:tblCellMar>
          <w:top w:w="28" w:type="dxa"/>
          <w:left w:w="28" w:type="dxa"/>
          <w:bottom w:w="28" w:type="dxa"/>
          <w:right w:w="28" w:type="dxa"/>
        </w:tblCellMar>
      </w:tblPr>
      <w:tblGrid>
        <w:gridCol w:w="1096"/>
        <w:gridCol w:w="964"/>
        <w:gridCol w:w="970"/>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231F20"/>
                <w:sz w:val="16"/>
              </w:rPr>
              <w:t>(in</w:t>
            </w:r>
            <w:r>
              <w:rPr>
                <w:color w:val="231F20"/>
              </w:rPr>
              <w:t xml:space="preserve"> </w:t>
            </w:r>
            <w:r>
              <w:rPr>
                <w:rFonts w:ascii="Times New Roman;serif" w:hAnsi="Times New Roman;serif"/>
                <w:b/>
                <w:color w:val="231F20"/>
                <w:sz w:val="16"/>
              </w:rPr>
              <w:t>thousands, except percentages)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20"/>
              </w:rPr>
              <w:t>GAAP</w:t>
            </w:r>
            <w:r>
              <w:rPr>
                <w:color w:val="231F20"/>
              </w:rPr>
              <w:t xml:space="preserve"> </w:t>
            </w:r>
            <w:r>
              <w:rPr>
                <w:rFonts w:ascii="Times New Roman;serif" w:hAnsi="Times New Roman;serif"/>
                <w:b/>
                <w:color w:val="231F2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89,248 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39,774 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151,081 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63,992 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112,905 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Acquisition-related costs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 xml:space="preserve">Non-GAAP operating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153,472 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75,248 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265,199 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128,979 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20"/>
              </w:rPr>
              <w:t>GAAP</w:t>
            </w:r>
            <w:r>
              <w:rPr>
                <w:color w:val="231F20"/>
              </w:rPr>
              <w:t xml:space="preserve"> </w:t>
            </w:r>
            <w:r>
              <w:rPr>
                <w:rFonts w:ascii="Times New Roman;serif" w:hAnsi="Times New Roman;serif"/>
                <w:b/>
                <w:color w:val="231F20"/>
                <w:sz w:val="20"/>
              </w:rPr>
              <w:t>operating</w:t>
            </w:r>
            <w:r>
              <w:rPr>
                <w:color w:val="231F20"/>
              </w:rPr>
              <w:t xml:space="preserve"> </w:t>
            </w:r>
            <w:r>
              <w:rPr>
                <w:rFonts w:ascii="Times New Roman;serif" w:hAnsi="Times New Roman;serif"/>
                <w:b/>
                <w:color w:val="231F20"/>
                <w:sz w:val="20"/>
              </w:rPr>
              <w:t>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Acquisition-related costs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20"/>
              </w:rPr>
              <w:t>Non-GAAP operating margin</w:t>
            </w:r>
            <w:r>
              <w:rPr>
                <w:color w:val="231F20"/>
              </w:rPr>
              <w:t xml:space="preserve"> </w:t>
            </w:r>
            <w:r>
              <w:rPr>
                <w:rFonts w:ascii="Times New Roman;serif" w:hAnsi="Times New Roman;serif"/>
                <w:b w:val="false"/>
                <w:color w:val="231F20"/>
                <w:sz w:val="13"/>
              </w:rPr>
              <w:t>(2)</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Acquisition-related costs include certain incremental expenses incurred to effect a business combination such as third-party costs: advisory, legal, accounting, valuation, and other professional fees.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Total may not sum due to rounding.</w:t>
      </w:r>
    </w:p>
    <w:p>
      <w:pPr>
        <w:pStyle w:val="TextBody"/>
        <w:bidi w:val="0"/>
        <w:spacing w:lineRule="auto" w:line="288" w:before="240" w:after="240"/>
        <w:ind w:left="0" w:right="0" w:firstLine="576"/>
        <w:jc w:val="left"/>
        <w:rPr/>
      </w:pPr>
      <w:r>
        <w:rPr>
          <w:rFonts w:ascii="Times New Roman;serif" w:hAnsi="Times New Roman;serif"/>
          <w:b/>
          <w:i/>
          <w:color w:val="231F20"/>
          <w:sz w:val="20"/>
        </w:rPr>
        <w:t>Non-GAAP</w:t>
      </w:r>
      <w:r>
        <w:rPr>
          <w:color w:val="231F20"/>
        </w:rPr>
        <w:t xml:space="preserve"> </w:t>
      </w:r>
      <w:r>
        <w:rPr>
          <w:rFonts w:ascii="Times New Roman;serif" w:hAnsi="Times New Roman;serif"/>
          <w:b/>
          <w:i/>
          <w:color w:val="231F20"/>
          <w:sz w:val="20"/>
        </w:rPr>
        <w:t xml:space="preserve">Net Income </w:t>
      </w:r>
    </w:p>
    <w:p>
      <w:pPr>
        <w:pStyle w:val="TextBody"/>
        <w:bidi w:val="0"/>
        <w:spacing w:lineRule="auto" w:line="288" w:before="0" w:after="0"/>
        <w:ind w:left="0" w:right="0" w:firstLine="576"/>
        <w:jc w:val="both"/>
        <w:rPr/>
      </w:pPr>
      <w:r>
        <w:rPr>
          <w:rFonts w:ascii="Times New Roman;serif" w:hAnsi="Times New Roman;serif"/>
          <w:b w:val="false"/>
          <w:color w:val="231F20"/>
          <w:sz w:val="20"/>
        </w:rPr>
        <w:t>We monitor non-GAAP net income for planning and performance measurement purposes. We define non-GAAP net income as net income presented</w:t>
      </w:r>
      <w:r>
        <w:rPr>
          <w:color w:val="231F20"/>
        </w:rPr>
        <w:t xml:space="preserve"> </w:t>
      </w:r>
      <w:r>
        <w:rPr>
          <w:rFonts w:ascii="Times New Roman;serif" w:hAnsi="Times New Roman;serif"/>
          <w:b w:val="false"/>
          <w:color w:val="231F20"/>
          <w:sz w:val="20"/>
        </w:rPr>
        <w:t>in accordance</w:t>
      </w:r>
      <w:r>
        <w:rPr>
          <w:color w:val="231F20"/>
        </w:rPr>
        <w:t xml:space="preserve"> </w:t>
      </w:r>
      <w:r>
        <w:rPr>
          <w:rFonts w:ascii="Times New Roman;serif" w:hAnsi="Times New Roman;serif"/>
          <w:b w:val="false"/>
          <w:color w:val="231F20"/>
          <w:sz w:val="20"/>
        </w:rPr>
        <w:t xml:space="preserve">with GAAP on our condensed consolidated statements of operations, excluding the impact of non-cash stock-based compensation expenses, acquisition-related costs, non-cash fair value adjustments on equity investments </w:t>
      </w:r>
      <w:r>
        <w:rPr>
          <w:rFonts w:ascii="Times New Roman;serif" w:hAnsi="Times New Roman;serif"/>
          <w:b w:val="false"/>
          <w:color w:val="000000"/>
          <w:sz w:val="20"/>
        </w:rPr>
        <w:t>without readily determinable fair values</w:t>
      </w:r>
      <w:r>
        <w:rPr>
          <w:rFonts w:ascii="Times New Roman;serif" w:hAnsi="Times New Roman;serif"/>
          <w:b w:val="false"/>
          <w:color w:val="231F20"/>
          <w:sz w:val="20"/>
        </w:rPr>
        <w:t>, and the related tax impact on the adjustments. We have presented non-GAAP net income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firstLine="576"/>
        <w:jc w:val="both"/>
        <w:rPr/>
      </w:pP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reconciliation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net income,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directly</w:t>
      </w:r>
      <w:r>
        <w:rPr>
          <w:color w:val="231F20"/>
        </w:rPr>
        <w:t xml:space="preserve"> </w:t>
      </w:r>
      <w:r>
        <w:rPr>
          <w:rFonts w:ascii="Times New Roman;serif" w:hAnsi="Times New Roman;serif"/>
          <w:b w:val="false"/>
          <w:color w:val="231F20"/>
          <w:sz w:val="20"/>
        </w:rPr>
        <w:t>comparable</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measure,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our non-GAAP</w:t>
      </w:r>
      <w:r>
        <w:rPr>
          <w:color w:val="231F20"/>
        </w:rPr>
        <w:t xml:space="preserve"> </w:t>
      </w: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income is</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below:</w:t>
      </w:r>
    </w:p>
    <w:tbl>
      <w:tblPr>
        <w:tblW w:w="8504" w:type="dxa"/>
        <w:jc w:val="center"/>
        <w:tblInd w:w="0" w:type="dxa"/>
        <w:tblLayout w:type="fixed"/>
        <w:tblCellMar>
          <w:top w:w="28" w:type="dxa"/>
          <w:left w:w="28" w:type="dxa"/>
          <w:bottom w:w="28" w:type="dxa"/>
          <w:right w:w="28" w:type="dxa"/>
        </w:tblCellMar>
      </w:tblPr>
      <w:tblGrid>
        <w:gridCol w:w="1084"/>
        <w:gridCol w:w="953"/>
        <w:gridCol w:w="962"/>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231F2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231F20"/>
                <w:sz w:val="16"/>
              </w:rPr>
              <w:t>(in</w:t>
            </w:r>
            <w:r>
              <w:rPr>
                <w:color w:val="231F20"/>
              </w:rPr>
              <w:t xml:space="preserve"> </w:t>
            </w:r>
            <w:r>
              <w:rPr>
                <w:rFonts w:ascii="Times New Roman;serif" w:hAnsi="Times New Roman;serif"/>
                <w:b/>
                <w:color w:val="231F20"/>
                <w:sz w:val="16"/>
              </w:rPr>
              <w:t>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20"/>
              </w:rPr>
              <w:t>GAAP</w:t>
            </w:r>
            <w:r>
              <w:rPr>
                <w:color w:val="231F20"/>
              </w:rPr>
              <w:t xml:space="preserve"> </w:t>
            </w:r>
            <w:r>
              <w:rPr>
                <w:rFonts w:ascii="Times New Roman;serif" w:hAnsi="Times New Roman;serif"/>
                <w:b/>
                <w:color w:val="231F20"/>
                <w:sz w:val="20"/>
              </w:rPr>
              <w:t>net</w:t>
            </w:r>
            <w:r>
              <w:rPr>
                <w:color w:val="231F20"/>
              </w:rPr>
              <w:t xml:space="preserve"> </w:t>
            </w:r>
            <w:r>
              <w:rPr>
                <w:rFonts w:ascii="Times New Roman;serif" w:hAnsi="Times New Roman;serif"/>
                <w:b/>
                <w:color w:val="231F20"/>
                <w:sz w:val="20"/>
              </w:rPr>
              <w:t>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153,088 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233,398 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83,038 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Acquisition-related costs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Income tax effect</w:t>
            </w:r>
            <w:r>
              <w:rPr>
                <w:color w:val="000000"/>
              </w:rPr>
              <w:t xml:space="preserve">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(69,996)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(90,133)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(23,308)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Non-GAAP 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145,816 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78,023 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255,883 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137,650 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Acquisition-related costs include certain incremental expenses incurred to effect a business combination such as third-party costs: advisory, legal, accounting, valuation, and other professional fees.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Other is comprised of non-cash fair value adjustments related to equity investments without readily determinable fair values. These investments are measured at cost and adjusted for observable price changes or impairment on a nonrecurring basis only upon the occurrence of certain events. Accordingly, these adjustments are not indicative of our core operating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 Income tax effect is calculated based on the tax laws in the jurisdictions in which we operate and is calculated to exclude the impact of non-cash stock-based compensation expense and one-off discrete tax adjustments that are unrelated to our core operating performance. While we maintain a valuation allowance for GAAP purposes, we no longer maintain valuation allowance for non-GAAP purposes due to our cumulative tax profits on a non-GAAP basis. For the three months ended June 30, 2026 and 2025, the non-GAAP tax rate was approximately 12% and 9%, respectively. For the six months ended June 30, 2026 and 2025, the non-GAAP tax rate was approximately 11% and 8%,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erif" w:hAnsi="Times New Roman;serif"/>
          <w:b/>
          <w:color w:val="231F20"/>
          <w:sz w:val="20"/>
        </w:rPr>
        <w:t>Liquidity</w:t>
      </w:r>
      <w:r>
        <w:rPr>
          <w:color w:val="231F20"/>
        </w:rPr>
        <w:t xml:space="preserve"> </w:t>
      </w:r>
      <w:r>
        <w:rPr>
          <w:rFonts w:ascii="Times New Roman;serif" w:hAnsi="Times New Roman;serif"/>
          <w:b/>
          <w:color w:val="231F20"/>
          <w:sz w:val="20"/>
        </w:rPr>
        <w:t>and Capital</w:t>
      </w:r>
      <w:r>
        <w:rPr>
          <w:color w:val="231F20"/>
        </w:rPr>
        <w:t xml:space="preserve"> </w:t>
      </w:r>
      <w:r>
        <w:rPr>
          <w:rFonts w:ascii="Times New Roman;serif" w:hAnsi="Times New Roman;serif"/>
          <w:b/>
          <w:color w:val="231F20"/>
          <w:sz w:val="20"/>
        </w:rPr>
        <w:t>Resources</w:t>
      </w:r>
    </w:p>
    <w:p>
      <w:pPr>
        <w:pStyle w:val="TextBody"/>
        <w:bidi w:val="0"/>
        <w:spacing w:lineRule="auto" w:line="288" w:before="120" w:after="283"/>
        <w:ind w:left="0" w:right="0" w:firstLine="576"/>
        <w:jc w:val="both"/>
        <w:rPr/>
      </w:pPr>
      <w:r>
        <w:rPr>
          <w:rFonts w:ascii="Times New Roman;serif" w:hAnsi="Times New Roman;serif"/>
          <w:b w:val="false"/>
          <w:color w:val="231F20"/>
          <w:sz w:val="20"/>
        </w:rPr>
        <w:t>Since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inception,</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financed</w:t>
      </w:r>
      <w:r>
        <w:rPr>
          <w:color w:val="231F20"/>
        </w:rPr>
        <w:t xml:space="preserve"> </w:t>
      </w:r>
      <w:r>
        <w:rPr>
          <w:rFonts w:ascii="Times New Roman;serif" w:hAnsi="Times New Roman;serif"/>
          <w:b w:val="false"/>
          <w:color w:val="231F20"/>
          <w:sz w:val="20"/>
        </w:rPr>
        <w:t>our operations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proceeds</w:t>
      </w:r>
      <w:r>
        <w:rPr>
          <w:color w:val="231F20"/>
        </w:rPr>
        <w:t xml:space="preserve"> </w:t>
      </w:r>
      <w:r>
        <w:rPr>
          <w:rFonts w:ascii="Times New Roman;serif" w:hAnsi="Times New Roman;serif"/>
          <w:b w:val="false"/>
          <w:color w:val="231F20"/>
          <w:sz w:val="20"/>
        </w:rPr>
        <w:t>from equity issuances including net proceeds from our IPO,</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generated</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sale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000000"/>
          <w:sz w:val="20"/>
        </w:rPr>
        <w:t>June 30, 2026</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principal</w:t>
      </w:r>
      <w:r>
        <w:rPr>
          <w:color w:val="231F20"/>
        </w:rPr>
        <w:t xml:space="preserve"> </w:t>
      </w:r>
      <w:r>
        <w:rPr>
          <w:rFonts w:ascii="Times New Roman;serif" w:hAnsi="Times New Roman;serif"/>
          <w:b w:val="false"/>
          <w:color w:val="231F20"/>
          <w:sz w:val="20"/>
        </w:rPr>
        <w:t>sources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liquidity</w:t>
      </w:r>
      <w:r>
        <w:rPr>
          <w:color w:val="231F20"/>
        </w:rPr>
        <w:t xml:space="preserve"> </w:t>
      </w:r>
      <w:r>
        <w:rPr>
          <w:rFonts w:ascii="Times New Roman;serif" w:hAnsi="Times New Roman;serif"/>
          <w:b w:val="false"/>
          <w:color w:val="231F20"/>
          <w:sz w:val="20"/>
        </w:rPr>
        <w:t>were</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equivalents,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marketable</w:t>
      </w:r>
      <w:r>
        <w:rPr>
          <w:color w:val="231F20"/>
        </w:rPr>
        <w:t xml:space="preserve"> </w:t>
      </w:r>
      <w:r>
        <w:rPr>
          <w:rFonts w:ascii="Times New Roman;serif" w:hAnsi="Times New Roman;serif"/>
          <w:b w:val="false"/>
          <w:color w:val="231F20"/>
          <w:sz w:val="20"/>
        </w:rPr>
        <w:t>securities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000000"/>
          <w:sz w:val="20"/>
        </w:rPr>
        <w:t>$1.3 billion</w:t>
      </w:r>
      <w:r>
        <w:rPr>
          <w:rFonts w:ascii="Times New Roman;serif" w:hAnsi="Times New Roman;serif"/>
          <w:b w:val="false"/>
          <w:color w:val="231F20"/>
          <w:sz w:val="20"/>
        </w:rPr>
        <w:t>. Our</w:t>
      </w:r>
      <w:r>
        <w:rPr>
          <w:color w:val="231F20"/>
        </w:rPr>
        <w:t xml:space="preserve"> </w:t>
      </w:r>
      <w:r>
        <w:rPr>
          <w:rFonts w:ascii="Times New Roman;serif" w:hAnsi="Times New Roman;serif"/>
          <w:b w:val="false"/>
          <w:color w:val="231F20"/>
          <w:sz w:val="20"/>
        </w:rPr>
        <w:t>principal</w:t>
      </w:r>
      <w:r>
        <w:rPr>
          <w:color w:val="231F20"/>
        </w:rPr>
        <w:t xml:space="preserve"> </w:t>
      </w:r>
      <w:r>
        <w:rPr>
          <w:rFonts w:ascii="Times New Roman;serif" w:hAnsi="Times New Roman;serif"/>
          <w:b w:val="false"/>
          <w:color w:val="231F20"/>
          <w:sz w:val="20"/>
        </w:rPr>
        <w:t>use</w:t>
      </w:r>
      <w:r>
        <w:rPr>
          <w:color w:val="231F20"/>
        </w:rPr>
        <w:t xml:space="preserve"> </w:t>
      </w:r>
      <w:r>
        <w:rPr>
          <w:rFonts w:ascii="Times New Roman;serif" w:hAnsi="Times New Roman;serif"/>
          <w:b w:val="false"/>
          <w:color w:val="231F20"/>
          <w:sz w:val="20"/>
        </w:rPr>
        <w:t>of cash is</w:t>
      </w:r>
      <w:r>
        <w:rPr>
          <w:color w:val="231F20"/>
        </w:rPr>
        <w:t xml:space="preserve"> </w:t>
      </w:r>
      <w:r>
        <w:rPr>
          <w:rFonts w:ascii="Times New Roman;serif" w:hAnsi="Times New Roman;serif"/>
          <w:b w:val="false"/>
          <w:color w:val="231F20"/>
          <w:sz w:val="20"/>
        </w:rPr>
        <w:t>to fund our operations, invest</w:t>
      </w:r>
      <w:r>
        <w:rPr>
          <w:color w:val="231F20"/>
        </w:rPr>
        <w:t xml:space="preserve"> </w:t>
      </w:r>
      <w:r>
        <w:rPr>
          <w:rFonts w:ascii="Times New Roman;serif" w:hAnsi="Times New Roman;serif"/>
          <w:b w:val="false"/>
          <w:color w:val="231F20"/>
          <w:sz w:val="20"/>
        </w:rPr>
        <w:t>in research</w:t>
      </w:r>
      <w:r>
        <w:rPr>
          <w:color w:val="231F20"/>
        </w:rPr>
        <w:t xml:space="preserve"> </w:t>
      </w:r>
      <w:r>
        <w:rPr>
          <w:rFonts w:ascii="Times New Roman;serif" w:hAnsi="Times New Roman;serif"/>
          <w:b w:val="false"/>
          <w:color w:val="231F20"/>
          <w:sz w:val="20"/>
        </w:rPr>
        <w:t>and development, fund capital expenditures for production equipment, acquisitions of businesses or technologies, and to support</w:t>
      </w:r>
      <w:r>
        <w:rPr>
          <w:color w:val="231F20"/>
        </w:rPr>
        <w:t xml:space="preserve"> </w:t>
      </w:r>
      <w:r>
        <w:rPr>
          <w:rFonts w:ascii="Times New Roman;serif" w:hAnsi="Times New Roman;serif"/>
          <w:b w:val="false"/>
          <w:color w:val="231F20"/>
          <w:sz w:val="20"/>
        </w:rPr>
        <w:t xml:space="preserve">our overall growth. </w:t>
      </w:r>
    </w:p>
    <w:p>
      <w:pPr>
        <w:pStyle w:val="TextBody"/>
        <w:bidi w:val="0"/>
        <w:spacing w:lineRule="auto" w:line="288" w:before="120" w:after="283"/>
        <w:ind w:left="0" w:right="0" w:firstLine="576"/>
        <w:jc w:val="both"/>
        <w:rPr/>
      </w:pPr>
      <w:r>
        <w:rPr>
          <w:rFonts w:ascii="Times New Roman;serif" w:hAnsi="Times New Roman;serif"/>
          <w:b w:val="false"/>
          <w:color w:val="231F20"/>
          <w:sz w:val="20"/>
        </w:rPr>
        <w:t xml:space="preserve">We generated </w:t>
      </w:r>
      <w:r>
        <w:rPr>
          <w:rFonts w:ascii="Times New Roman;serif" w:hAnsi="Times New Roman;serif"/>
          <w:b w:val="false"/>
          <w:color w:val="000000"/>
          <w:sz w:val="20"/>
        </w:rPr>
        <w:t>$162.3 million</w:t>
      </w:r>
      <w:r>
        <w:rPr>
          <w:color w:val="231F20"/>
        </w:rPr>
        <w:t xml:space="preserve"> </w:t>
      </w:r>
      <w:r>
        <w:rPr>
          <w:rFonts w:ascii="Times New Roman;serif" w:hAnsi="Times New Roman;serif"/>
          <w:b w:val="false"/>
          <w:color w:val="231F20"/>
          <w:sz w:val="20"/>
        </w:rPr>
        <w:t xml:space="preserve">in cash flow from operating activities for the six months ended </w:t>
      </w:r>
      <w:r>
        <w:rPr>
          <w:rFonts w:ascii="Times New Roman;serif" w:hAnsi="Times New Roman;serif"/>
          <w:b w:val="false"/>
          <w:color w:val="000000"/>
          <w:sz w:val="20"/>
        </w:rPr>
        <w:t>June 30, 2026 and retained earnings of $243.7 million as of June 30, 2026. W</w:t>
      </w:r>
      <w:r>
        <w:rPr>
          <w:rFonts w:ascii="Times New Roman;serif" w:hAnsi="Times New Roman;serif"/>
          <w:b w:val="false"/>
          <w:color w:val="231F20"/>
          <w:sz w:val="20"/>
        </w:rPr>
        <w:t>e</w:t>
      </w:r>
      <w:r>
        <w:rPr>
          <w:color w:val="231F20"/>
        </w:rPr>
        <w:t xml:space="preserve"> </w:t>
      </w:r>
      <w:r>
        <w:rPr>
          <w:rFonts w:ascii="Times New Roman;serif" w:hAnsi="Times New Roman;serif"/>
          <w:b w:val="false"/>
          <w:color w:val="231F20"/>
          <w:sz w:val="20"/>
        </w:rPr>
        <w:t>believe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our current</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cash equivalents,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marketable</w:t>
      </w:r>
      <w:r>
        <w:rPr>
          <w:color w:val="231F20"/>
        </w:rPr>
        <w:t xml:space="preserve"> </w:t>
      </w:r>
      <w:r>
        <w:rPr>
          <w:rFonts w:ascii="Times New Roman;serif" w:hAnsi="Times New Roman;serif"/>
          <w:b w:val="false"/>
          <w:color w:val="231F20"/>
          <w:sz w:val="20"/>
        </w:rPr>
        <w:t>securities</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sufficient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fund</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operations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least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next</w:t>
      </w:r>
      <w:r>
        <w:rPr>
          <w:color w:val="231F20"/>
        </w:rPr>
        <w:t xml:space="preserve"> </w:t>
      </w:r>
      <w:r>
        <w:rPr>
          <w:rFonts w:ascii="Times New Roman;serif" w:hAnsi="Times New Roman;serif"/>
          <w:b w:val="false"/>
          <w:color w:val="231F20"/>
          <w:sz w:val="20"/>
        </w:rPr>
        <w:t>12</w:t>
      </w:r>
      <w:r>
        <w:rPr>
          <w:color w:val="231F20"/>
        </w:rPr>
        <w:t xml:space="preserve"> </w:t>
      </w:r>
      <w:r>
        <w:rPr>
          <w:rFonts w:ascii="Times New Roman;serif" w:hAnsi="Times New Roman;serif"/>
          <w:b w:val="false"/>
          <w:color w:val="231F20"/>
          <w:sz w:val="20"/>
        </w:rPr>
        <w:t>months and beyond. Our</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requirements,</w:t>
      </w:r>
      <w:r>
        <w:rPr>
          <w:color w:val="231F20"/>
        </w:rPr>
        <w:t xml:space="preserve"> </w:t>
      </w:r>
      <w:r>
        <w:rPr>
          <w:rFonts w:ascii="Times New Roman;serif" w:hAnsi="Times New Roman;serif"/>
          <w:b w:val="false"/>
          <w:color w:val="231F20"/>
          <w:sz w:val="20"/>
        </w:rPr>
        <w:t>however,</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depend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many</w:t>
      </w:r>
      <w:r>
        <w:rPr>
          <w:color w:val="231F20"/>
        </w:rPr>
        <w:t xml:space="preserve"> </w:t>
      </w:r>
      <w:r>
        <w:rPr>
          <w:rFonts w:ascii="Times New Roman;serif" w:hAnsi="Times New Roman;serif"/>
          <w:b w:val="false"/>
          <w:color w:val="231F20"/>
          <w:sz w:val="20"/>
        </w:rPr>
        <w:t>factors,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growth rate,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timing</w:t>
      </w:r>
      <w:r>
        <w:rPr>
          <w:color w:val="231F20"/>
        </w:rPr>
        <w:t xml:space="preserve"> </w:t>
      </w:r>
      <w:r>
        <w:rPr>
          <w:rFonts w:ascii="Times New Roman;serif" w:hAnsi="Times New Roman;serif"/>
          <w:b w:val="false"/>
          <w:color w:val="231F20"/>
          <w:sz w:val="20"/>
        </w:rPr>
        <w:t>and extent</w:t>
      </w:r>
      <w:r>
        <w:rPr>
          <w:color w:val="231F20"/>
        </w:rPr>
        <w:t xml:space="preserve"> </w:t>
      </w:r>
      <w:r>
        <w:rPr>
          <w:rFonts w:ascii="Times New Roman;serif" w:hAnsi="Times New Roman;serif"/>
          <w:b w:val="false"/>
          <w:color w:val="231F20"/>
          <w:sz w:val="20"/>
        </w:rPr>
        <w:t>of our sales</w:t>
      </w:r>
      <w:r>
        <w:rPr>
          <w:color w:val="231F20"/>
        </w:rPr>
        <w:t xml:space="preserve"> </w:t>
      </w:r>
      <w:r>
        <w:rPr>
          <w:rFonts w:ascii="Times New Roman;serif" w:hAnsi="Times New Roman;serif"/>
          <w:b w:val="false"/>
          <w:color w:val="231F20"/>
          <w:sz w:val="20"/>
        </w:rPr>
        <w:t>and marketing</w:t>
      </w:r>
      <w:r>
        <w:rPr>
          <w:color w:val="231F20"/>
        </w:rPr>
        <w:t xml:space="preserve"> </w:t>
      </w:r>
      <w:r>
        <w:rPr>
          <w:rFonts w:ascii="Times New Roman;serif" w:hAnsi="Times New Roman;serif"/>
          <w:b w:val="false"/>
          <w:color w:val="231F20"/>
          <w:sz w:val="20"/>
        </w:rPr>
        <w:t>and 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expenditures, capital expenditures for production equipment,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continuing</w:t>
      </w:r>
      <w:r>
        <w:rPr>
          <w:color w:val="231F20"/>
        </w:rPr>
        <w:t xml:space="preserve"> </w:t>
      </w:r>
      <w:r>
        <w:rPr>
          <w:rFonts w:ascii="Times New Roman;serif" w:hAnsi="Times New Roman;serif"/>
          <w:b w:val="false"/>
          <w:color w:val="231F20"/>
          <w:sz w:val="20"/>
        </w:rPr>
        <w:t>market</w:t>
      </w:r>
      <w:r>
        <w:rPr>
          <w:color w:val="231F20"/>
        </w:rPr>
        <w:t xml:space="preserve"> </w:t>
      </w:r>
      <w:r>
        <w:rPr>
          <w:rFonts w:ascii="Times New Roman;serif" w:hAnsi="Times New Roman;serif"/>
          <w:b w:val="false"/>
          <w:color w:val="231F20"/>
          <w:sz w:val="20"/>
        </w:rPr>
        <w:t>acceptance 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use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fund</w:t>
      </w:r>
      <w:r>
        <w:rPr>
          <w:color w:val="231F20"/>
        </w:rPr>
        <w:t xml:space="preserve"> </w:t>
      </w:r>
      <w:r>
        <w:rPr>
          <w:rFonts w:ascii="Times New Roman;serif" w:hAnsi="Times New Roman;serif"/>
          <w:b w:val="false"/>
          <w:color w:val="231F20"/>
          <w:sz w:val="20"/>
        </w:rPr>
        <w:t>potential</w:t>
      </w:r>
      <w:r>
        <w:rPr>
          <w:color w:val="231F20"/>
        </w:rPr>
        <w:t xml:space="preserve"> </w:t>
      </w:r>
      <w:r>
        <w:rPr>
          <w:rFonts w:ascii="Times New Roman;serif" w:hAnsi="Times New Roman;serif"/>
          <w:b w:val="false"/>
          <w:color w:val="231F20"/>
          <w:sz w:val="20"/>
        </w:rPr>
        <w:t>mergers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acquisitions.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event</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additional financing</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required</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outside</w:t>
      </w:r>
      <w:r>
        <w:rPr>
          <w:color w:val="231F20"/>
        </w:rPr>
        <w:t xml:space="preserve"> </w:t>
      </w:r>
      <w:r>
        <w:rPr>
          <w:rFonts w:ascii="Times New Roman;serif" w:hAnsi="Times New Roman;serif"/>
          <w:b w:val="false"/>
          <w:color w:val="231F20"/>
          <w:sz w:val="20"/>
        </w:rPr>
        <w:t>sources,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seek</w:t>
      </w:r>
      <w:r>
        <w:rPr>
          <w:color w:val="231F20"/>
        </w:rPr>
        <w:t xml:space="preserve"> </w:t>
      </w:r>
      <w:r>
        <w:rPr>
          <w:rFonts w:ascii="Times New Roman;serif" w:hAnsi="Times New Roman;serif"/>
          <w:b w:val="false"/>
          <w:color w:val="231F20"/>
          <w:sz w:val="20"/>
        </w:rPr>
        <w:t>to raise</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funds</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equity,</w:t>
      </w:r>
      <w:r>
        <w:rPr>
          <w:color w:val="231F20"/>
        </w:rPr>
        <w:t xml:space="preserve"> </w:t>
      </w:r>
      <w:r>
        <w:rPr>
          <w:rFonts w:ascii="Times New Roman;serif" w:hAnsi="Times New Roman;serif"/>
          <w:b w:val="false"/>
          <w:color w:val="231F20"/>
          <w:sz w:val="20"/>
        </w:rPr>
        <w:t>equity-linked arrangements,</w:t>
      </w:r>
      <w:r>
        <w:rPr>
          <w:color w:val="231F20"/>
        </w:rPr>
        <w:t xml:space="preserve"> </w:t>
      </w:r>
      <w:r>
        <w:rPr>
          <w:rFonts w:ascii="Times New Roman;serif" w:hAnsi="Times New Roman;serif"/>
          <w:b w:val="false"/>
          <w:color w:val="231F20"/>
          <w:sz w:val="20"/>
        </w:rPr>
        <w:t>and debt.</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we are</w:t>
      </w:r>
      <w:r>
        <w:rPr>
          <w:color w:val="231F20"/>
        </w:rPr>
        <w:t xml:space="preserve"> </w:t>
      </w:r>
      <w:r>
        <w:rPr>
          <w:rFonts w:ascii="Times New Roman;serif" w:hAnsi="Times New Roman;serif"/>
          <w:b w:val="false"/>
          <w:color w:val="231F20"/>
          <w:sz w:val="20"/>
        </w:rPr>
        <w:t>unable</w:t>
      </w:r>
      <w:r>
        <w:rPr>
          <w:color w:val="231F20"/>
        </w:rPr>
        <w:t xml:space="preserve"> </w:t>
      </w:r>
      <w:r>
        <w:rPr>
          <w:rFonts w:ascii="Times New Roman;serif" w:hAnsi="Times New Roman;serif"/>
          <w:b w:val="false"/>
          <w:color w:val="231F20"/>
          <w:sz w:val="20"/>
        </w:rPr>
        <w:t>to raise</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when desired</w:t>
      </w:r>
      <w:r>
        <w:rPr>
          <w:color w:val="231F20"/>
        </w:rPr>
        <w:t xml:space="preserve"> </w:t>
      </w:r>
      <w:r>
        <w:rPr>
          <w:rFonts w:ascii="Times New Roman;serif" w:hAnsi="Times New Roman;serif"/>
          <w:b w:val="false"/>
          <w:color w:val="231F20"/>
          <w:sz w:val="20"/>
        </w:rPr>
        <w:t>and at reasonable</w:t>
      </w:r>
      <w:r>
        <w:rPr>
          <w:color w:val="231F20"/>
        </w:rPr>
        <w:t xml:space="preserve"> </w:t>
      </w:r>
      <w:r>
        <w:rPr>
          <w:rFonts w:ascii="Times New Roman;serif" w:hAnsi="Times New Roman;serif"/>
          <w:b w:val="false"/>
          <w:color w:val="231F20"/>
          <w:sz w:val="20"/>
        </w:rPr>
        <w:t>rates, our business,</w:t>
      </w:r>
      <w:r>
        <w:rPr>
          <w:color w:val="231F20"/>
        </w:rPr>
        <w:t xml:space="preserve"> </w:t>
      </w:r>
      <w:r>
        <w:rPr>
          <w:rFonts w:ascii="Times New Roman;serif" w:hAnsi="Times New Roman;serif"/>
          <w:b w:val="false"/>
          <w:color w:val="231F20"/>
          <w:sz w:val="20"/>
        </w:rPr>
        <w:t>results</w:t>
      </w:r>
      <w:r>
        <w:rPr>
          <w:color w:val="231F20"/>
        </w:rPr>
        <w:t xml:space="preserve"> </w:t>
      </w:r>
      <w:r>
        <w:rPr>
          <w:rFonts w:ascii="Times New Roman;serif" w:hAnsi="Times New Roman;serif"/>
          <w:b w:val="false"/>
          <w:color w:val="231F20"/>
          <w:sz w:val="20"/>
        </w:rPr>
        <w:t>of operations,</w:t>
      </w:r>
      <w:r>
        <w:rPr>
          <w:color w:val="231F20"/>
        </w:rPr>
        <w:t xml:space="preserve"> </w:t>
      </w:r>
      <w:r>
        <w:rPr>
          <w:rFonts w:ascii="Times New Roman;serif" w:hAnsi="Times New Roman;serif"/>
          <w:b w:val="false"/>
          <w:color w:val="231F20"/>
          <w:sz w:val="20"/>
        </w:rPr>
        <w:t>and financial</w:t>
      </w:r>
      <w:r>
        <w:rPr>
          <w:color w:val="231F20"/>
        </w:rPr>
        <w:t xml:space="preserve"> </w:t>
      </w:r>
      <w:r>
        <w:rPr>
          <w:rFonts w:ascii="Times New Roman;serif" w:hAnsi="Times New Roman;serif"/>
          <w:b w:val="false"/>
          <w:color w:val="231F20"/>
          <w:sz w:val="20"/>
        </w:rPr>
        <w:t>condition</w:t>
      </w:r>
      <w:r>
        <w:rPr>
          <w:color w:val="231F20"/>
        </w:rPr>
        <w:t xml:space="preserve"> </w:t>
      </w:r>
      <w:r>
        <w:rPr>
          <w:rFonts w:ascii="Times New Roman;serif" w:hAnsi="Times New Roman;serif"/>
          <w:b w:val="false"/>
          <w:color w:val="231F20"/>
          <w:sz w:val="20"/>
        </w:rPr>
        <w:t>could</w:t>
      </w:r>
      <w:r>
        <w:rPr>
          <w:color w:val="231F20"/>
        </w:rPr>
        <w:t xml:space="preserve"> </w:t>
      </w:r>
      <w:r>
        <w:rPr>
          <w:rFonts w:ascii="Times New Roman;serif" w:hAnsi="Times New Roman;serif"/>
          <w:b w:val="false"/>
          <w:color w:val="231F20"/>
          <w:sz w:val="20"/>
        </w:rPr>
        <w:t>be adversely</w:t>
      </w:r>
      <w:r>
        <w:rPr>
          <w:color w:val="231F20"/>
        </w:rPr>
        <w:t xml:space="preserve"> </w:t>
      </w:r>
      <w:r>
        <w:rPr>
          <w:rFonts w:ascii="Times New Roman;serif" w:hAnsi="Times New Roman;serif"/>
          <w:b w:val="false"/>
          <w:color w:val="231F20"/>
          <w:sz w:val="20"/>
        </w:rPr>
        <w:t>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 xml:space="preserve">Cash Flows </w:t>
      </w:r>
    </w:p>
    <w:p>
      <w:pPr>
        <w:pStyle w:val="TextBody"/>
        <w:bidi w:val="0"/>
        <w:spacing w:lineRule="auto" w:line="288" w:before="120" w:after="283"/>
        <w:ind w:left="0" w:right="0" w:firstLine="576"/>
        <w:jc w:val="both"/>
        <w:rPr/>
      </w:pPr>
      <w:r>
        <w:rPr>
          <w:rFonts w:ascii="Times New Roman;serif" w:hAnsi="Times New Roman;serif"/>
          <w:b w:val="false"/>
          <w:color w:val="231F20"/>
          <w:sz w:val="20"/>
        </w:rPr>
        <w:t>The following</w:t>
      </w:r>
      <w:r>
        <w:rPr>
          <w:color w:val="231F20"/>
        </w:rPr>
        <w:t xml:space="preserve"> </w:t>
      </w:r>
      <w:r>
        <w:rPr>
          <w:rFonts w:ascii="Times New Roman;serif" w:hAnsi="Times New Roman;serif"/>
          <w:b w:val="false"/>
          <w:color w:val="231F20"/>
          <w:sz w:val="20"/>
        </w:rPr>
        <w:t>table</w:t>
      </w:r>
      <w:r>
        <w:rPr>
          <w:color w:val="231F20"/>
        </w:rPr>
        <w:t xml:space="preserve"> </w:t>
      </w:r>
      <w:r>
        <w:rPr>
          <w:rFonts w:ascii="Times New Roman;serif" w:hAnsi="Times New Roman;serif"/>
          <w:b w:val="false"/>
          <w:color w:val="231F20"/>
          <w:sz w:val="20"/>
        </w:rPr>
        <w:t>summarizes</w:t>
      </w:r>
      <w:r>
        <w:rPr>
          <w:color w:val="231F20"/>
        </w:rPr>
        <w:t xml:space="preserve"> </w:t>
      </w:r>
      <w:r>
        <w:rPr>
          <w:rFonts w:ascii="Times New Roman;serif" w:hAnsi="Times New Roman;serif"/>
          <w:b w:val="false"/>
          <w:color w:val="231F20"/>
          <w:sz w:val="20"/>
        </w:rPr>
        <w:t>our cash</w:t>
      </w:r>
      <w:r>
        <w:rPr>
          <w:color w:val="231F20"/>
        </w:rPr>
        <w:t xml:space="preserve"> </w:t>
      </w:r>
      <w:r>
        <w:rPr>
          <w:rFonts w:ascii="Times New Roman;serif" w:hAnsi="Times New Roman;serif"/>
          <w:b w:val="false"/>
          <w:color w:val="231F20"/>
          <w:sz w:val="20"/>
        </w:rPr>
        <w:t>flows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periods</w:t>
      </w:r>
      <w:r>
        <w:rPr>
          <w:color w:val="231F20"/>
        </w:rPr>
        <w:t xml:space="preserve"> </w:t>
      </w:r>
      <w:r>
        <w:rPr>
          <w:rFonts w:ascii="Times New Roman;serif" w:hAnsi="Times New Roman;serif"/>
          <w:b w:val="false"/>
          <w:color w:val="231F20"/>
          <w:sz w:val="20"/>
        </w:rPr>
        <w:t>presented:</w:t>
      </w:r>
    </w:p>
    <w:tbl>
      <w:tblPr>
        <w:tblW w:w="7752" w:type="dxa"/>
        <w:jc w:val="left"/>
        <w:tblInd w:w="0" w:type="dxa"/>
        <w:tblLayout w:type="fixed"/>
        <w:tblCellMar>
          <w:top w:w="28" w:type="dxa"/>
          <w:left w:w="28" w:type="dxa"/>
          <w:bottom w:w="28" w:type="dxa"/>
          <w:right w:w="28" w:type="dxa"/>
        </w:tblCellMar>
      </w:tblPr>
      <w:tblGrid>
        <w:gridCol w:w="1254"/>
        <w:gridCol w:w="1104"/>
        <w:gridCol w:w="1107"/>
        <w:gridCol w:w="211"/>
        <w:gridCol w:w="901"/>
        <w:gridCol w:w="109"/>
        <w:gridCol w:w="109"/>
        <w:gridCol w:w="109"/>
        <w:gridCol w:w="109"/>
        <w:gridCol w:w="211"/>
        <w:gridCol w:w="826"/>
        <w:gridCol w:w="109"/>
        <w:gridCol w:w="109"/>
        <w:gridCol w:w="109"/>
        <w:gridCol w:w="109"/>
        <w:gridCol w:w="211"/>
        <w:gridCol w:w="90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231F20"/>
                <w:sz w:val="16"/>
              </w:rPr>
              <w:t>(in</w:t>
            </w:r>
            <w:r>
              <w:rPr>
                <w:color w:val="231F20"/>
              </w:rPr>
              <w:t xml:space="preserve"> </w:t>
            </w:r>
            <w:r>
              <w:rPr>
                <w:rFonts w:ascii="Times New Roman;serif" w:hAnsi="Times New Roman;serif"/>
                <w:b/>
                <w:color w:val="231F2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145,870 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16,406 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(67,633)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(157,934)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76"/>
        <w:jc w:val="both"/>
        <w:rPr/>
      </w:pPr>
      <w:r>
        <w:rPr>
          <w:rFonts w:ascii="Times New Roman;serif" w:hAnsi="Times New Roman;serif"/>
          <w:b/>
          <w:i/>
          <w:color w:val="231F20"/>
          <w:sz w:val="20"/>
        </w:rPr>
        <w:t>Change in Cash Flows from Operating</w:t>
      </w:r>
      <w:r>
        <w:rPr>
          <w:color w:val="231F20"/>
        </w:rPr>
        <w:t xml:space="preserve"> </w:t>
      </w:r>
      <w:r>
        <w:rPr>
          <w:rFonts w:ascii="Times New Roman;serif" w:hAnsi="Times New Roman;serif"/>
          <w:b/>
          <w:i/>
          <w:color w:val="231F20"/>
          <w:sz w:val="20"/>
        </w:rPr>
        <w:t>Activities</w:t>
      </w:r>
    </w:p>
    <w:p>
      <w:pPr>
        <w:pStyle w:val="TextBody"/>
        <w:bidi w:val="0"/>
        <w:spacing w:lineRule="auto" w:line="288" w:before="120" w:after="283"/>
        <w:ind w:left="0" w:right="0" w:firstLine="576"/>
        <w:jc w:val="both"/>
        <w:rPr/>
      </w:pPr>
      <w:r>
        <w:rPr>
          <w:rFonts w:ascii="Times New Roman;serif" w:hAnsi="Times New Roman;serif"/>
          <w:b w:val="false"/>
          <w:color w:val="000000"/>
          <w:sz w:val="20"/>
          <w:shd w:fill="FFFFFF" w:val="clear"/>
        </w:rPr>
        <w:t>Net cash provided by operating activities was $162.3 million for the six</w:t>
      </w:r>
      <w:r>
        <w:rPr>
          <w:color w:val="231F20"/>
          <w:shd w:fill="FFFFFF" w:val="clear"/>
        </w:rPr>
        <w:t xml:space="preserve"> </w:t>
      </w:r>
      <w:r>
        <w:rPr>
          <w:rFonts w:ascii="Times New Roman;serif" w:hAnsi="Times New Roman;serif"/>
          <w:b w:val="false"/>
          <w:color w:val="231F20"/>
          <w:sz w:val="20"/>
          <w:shd w:fill="FFFFFF" w:val="clear"/>
        </w:rPr>
        <w:t>months ended June 30, 2026</w:t>
      </w:r>
      <w:r>
        <w:rPr>
          <w:rFonts w:ascii="Times New Roman;serif" w:hAnsi="Times New Roman;serif"/>
          <w:b w:val="false"/>
          <w:color w:val="000000"/>
          <w:sz w:val="20"/>
          <w:shd w:fill="FFFFFF" w:val="clear"/>
        </w:rPr>
        <w:t>,</w:t>
      </w:r>
      <w:r>
        <w:rPr>
          <w:color w:val="231F20"/>
          <w:shd w:fill="FFFFFF" w:val="clear"/>
        </w:rPr>
        <w:t xml:space="preserve"> </w:t>
      </w:r>
      <w:r>
        <w:rPr>
          <w:rFonts w:ascii="Times New Roman;serif" w:hAnsi="Times New Roman;serif"/>
          <w:b w:val="false"/>
          <w:color w:val="231F20"/>
          <w:sz w:val="20"/>
          <w:shd w:fill="FFFFFF" w:val="clear"/>
        </w:rPr>
        <w:t xml:space="preserve">compared to </w:t>
      </w:r>
      <w:r>
        <w:rPr>
          <w:rFonts w:ascii="Times New Roman;serif" w:hAnsi="Times New Roman;serif"/>
          <w:b w:val="false"/>
          <w:color w:val="000000"/>
          <w:sz w:val="20"/>
          <w:shd w:fill="FFFFFF" w:val="clear"/>
        </w:rPr>
        <w:t>$145.9 million</w:t>
      </w:r>
      <w:r>
        <w:rPr>
          <w:color w:val="231F20"/>
          <w:shd w:fill="FFFFFF" w:val="clear"/>
        </w:rPr>
        <w:t xml:space="preserve"> </w:t>
      </w:r>
      <w:r>
        <w:rPr>
          <w:rFonts w:ascii="Times New Roman;serif" w:hAnsi="Times New Roman;serif"/>
          <w:b w:val="false"/>
          <w:color w:val="000000"/>
          <w:sz w:val="20"/>
          <w:shd w:fill="FFFFFF" w:val="clear"/>
        </w:rPr>
        <w:t>for the comparable period in 2025. The $16.4 million increase in operating cash inflows was a result of a $150.4 million increase in net income, higher non-cash charges of $50.1 million, partially offset by an unfavorable change of $184.0 million from changes in operating assets and liabilities. The higher non-cash charges of $50.1 million were primarily due to a $35.0 million increase in stock-based compensation expense, a $10.2 million increase in warrants contra revenue, and a $5.1 million increase in depreciation and amortization. The unfavorable change of $184.0 million in operating assets and liabilities was predominantly attributable to (i) a $124.0 million unfavorable change</w:t>
      </w:r>
      <w:r>
        <w:rPr>
          <w:color w:val="000000"/>
          <w:shd w:fill="FFFFFF" w:val="clear"/>
        </w:rPr>
        <w:t xml:space="preserve"> </w:t>
      </w:r>
      <w:r>
        <w:rPr>
          <w:rFonts w:ascii="Times New Roman;serif" w:hAnsi="Times New Roman;serif"/>
          <w:b w:val="false"/>
          <w:color w:val="000000"/>
          <w:sz w:val="20"/>
          <w:shd w:fill="FFFFFF" w:val="clear"/>
        </w:rPr>
        <w:t xml:space="preserve">in accounts receivable due to higher product sales and the timing of customer payments, (ii) a $38.6 million unfavorable change in inventory primarily resulting from per-unit inventory costs and inventory build up to support anticipated demand, and (iii) a $22.9 million unfavorable change in the prepaid expenses and other assets. These unfavorable changes were partially offset by a $1.4 million favorable change in accounts payable and accrued other liabilities primarily due to the timing of payments. </w:t>
      </w:r>
    </w:p>
    <w:p>
      <w:pPr>
        <w:pStyle w:val="TextBody"/>
        <w:bidi w:val="0"/>
        <w:spacing w:lineRule="auto" w:line="288" w:before="360" w:after="283"/>
        <w:ind w:left="0" w:right="0" w:firstLine="576"/>
        <w:jc w:val="both"/>
        <w:rPr/>
      </w:pPr>
      <w:r>
        <w:rPr>
          <w:rFonts w:ascii="Times New Roman;serif" w:hAnsi="Times New Roman;serif"/>
          <w:b/>
          <w:i/>
          <w:color w:val="231F20"/>
          <w:sz w:val="20"/>
          <w:shd w:fill="FFFFFF" w:val="clear"/>
        </w:rPr>
        <w:t>Change in Cash Flows from Investing</w:t>
      </w:r>
      <w:r>
        <w:rPr>
          <w:color w:val="231F20"/>
          <w:shd w:fill="FFFFFF" w:val="clear"/>
        </w:rPr>
        <w:t xml:space="preserve"> </w:t>
      </w:r>
      <w:r>
        <w:rPr>
          <w:rFonts w:ascii="Times New Roman;serif" w:hAnsi="Times New Roman;serif"/>
          <w:b/>
          <w:i/>
          <w:color w:val="231F20"/>
          <w:sz w:val="20"/>
          <w:shd w:fill="FFFFFF" w:val="clear"/>
        </w:rPr>
        <w:t>Activities</w:t>
      </w:r>
    </w:p>
    <w:p>
      <w:pPr>
        <w:pStyle w:val="TextBody"/>
        <w:bidi w:val="0"/>
        <w:spacing w:lineRule="auto" w:line="288" w:before="120" w:after="283"/>
        <w:ind w:left="0" w:right="0" w:firstLine="576"/>
        <w:jc w:val="both"/>
        <w:rPr/>
      </w:pPr>
      <w:r>
        <w:rPr>
          <w:rFonts w:ascii="Times New Roman;serif" w:hAnsi="Times New Roman;serif"/>
          <w:b w:val="false"/>
          <w:color w:val="000000"/>
          <w:sz w:val="20"/>
        </w:rPr>
        <w:t>Net cash used in investing activities</w:t>
      </w:r>
      <w:r>
        <w:rPr>
          <w:color w:val="231F20"/>
        </w:rPr>
        <w:t xml:space="preserve"> </w:t>
      </w:r>
      <w:r>
        <w:rPr>
          <w:rFonts w:ascii="Times New Roman;serif" w:hAnsi="Times New Roman;serif"/>
          <w:b w:val="false"/>
          <w:color w:val="000000"/>
          <w:sz w:val="20"/>
        </w:rPr>
        <w:t>was $225.6 million for the six</w:t>
      </w:r>
      <w:r>
        <w:rPr>
          <w:color w:val="231F20"/>
        </w:rPr>
        <w:t xml:space="preserve"> </w:t>
      </w:r>
      <w:r>
        <w:rPr>
          <w:rFonts w:ascii="Times New Roman;serif" w:hAnsi="Times New Roman;serif"/>
          <w:b w:val="false"/>
          <w:color w:val="231F20"/>
          <w:sz w:val="20"/>
        </w:rPr>
        <w:t>months ended June 30, 2026</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compared to </w:t>
      </w:r>
      <w:r>
        <w:rPr>
          <w:rFonts w:ascii="Times New Roman;serif" w:hAnsi="Times New Roman;serif"/>
          <w:b w:val="false"/>
          <w:color w:val="000000"/>
          <w:sz w:val="20"/>
        </w:rPr>
        <w:t>$67.6 million for the comparable period in 2025. The increase in cash used in investing activities of $157.9 million was primarily due to a $109.7 million decrease</w:t>
      </w:r>
      <w:r>
        <w:rPr>
          <w:color w:val="00000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proceeds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sales and maturities of</w:t>
      </w:r>
      <w:r>
        <w:rPr>
          <w:color w:val="231F20"/>
        </w:rPr>
        <w:t xml:space="preserve"> </w:t>
      </w:r>
      <w:r>
        <w:rPr>
          <w:rFonts w:ascii="Times New Roman;serif" w:hAnsi="Times New Roman;serif"/>
          <w:b w:val="false"/>
          <w:color w:val="231F20"/>
          <w:sz w:val="20"/>
        </w:rPr>
        <w:t>marketable</w:t>
      </w:r>
      <w:r>
        <w:rPr>
          <w:color w:val="231F20"/>
        </w:rPr>
        <w:t xml:space="preserve"> </w:t>
      </w:r>
      <w:r>
        <w:rPr>
          <w:rFonts w:ascii="Times New Roman;serif" w:hAnsi="Times New Roman;serif"/>
          <w:b w:val="false"/>
          <w:color w:val="231F20"/>
          <w:sz w:val="20"/>
        </w:rPr>
        <w:t xml:space="preserve">securities, </w:t>
      </w:r>
      <w:r>
        <w:rPr>
          <w:rFonts w:ascii="Times New Roman;serif" w:hAnsi="Times New Roman;serif"/>
          <w:b w:val="false"/>
          <w:color w:val="000000"/>
          <w:sz w:val="20"/>
        </w:rPr>
        <w:t xml:space="preserve">a $69.2 million increase in payments related to business acquisitions, </w:t>
      </w:r>
      <w:r>
        <w:rPr>
          <w:rFonts w:ascii="Times New Roman;serif" w:hAnsi="Times New Roman;serif"/>
          <w:b w:val="false"/>
          <w:color w:val="231F20"/>
          <w:sz w:val="20"/>
        </w:rPr>
        <w:t xml:space="preserve">and a </w:t>
      </w:r>
      <w:r>
        <w:rPr>
          <w:rFonts w:ascii="Times New Roman;serif" w:hAnsi="Times New Roman;serif"/>
          <w:b w:val="false"/>
          <w:color w:val="000000"/>
          <w:sz w:val="20"/>
        </w:rPr>
        <w:t xml:space="preserve">$21.5 million increase in purchases of property and equipment. These increases were </w:t>
      </w:r>
      <w:r>
        <w:rPr>
          <w:rFonts w:ascii="Times New Roman;serif" w:hAnsi="Times New Roman;serif"/>
          <w:b w:val="false"/>
          <w:color w:val="231F20"/>
          <w:sz w:val="20"/>
        </w:rPr>
        <w:t xml:space="preserve">partially offset by a </w:t>
      </w:r>
      <w:r>
        <w:rPr>
          <w:rFonts w:ascii="Times New Roman;serif" w:hAnsi="Times New Roman;serif"/>
          <w:b w:val="false"/>
          <w:color w:val="000000"/>
          <w:sz w:val="20"/>
        </w:rPr>
        <w:t>$45.0 million</w:t>
      </w:r>
      <w:r>
        <w:rPr>
          <w:color w:val="000000"/>
        </w:rPr>
        <w:t xml:space="preserve"> </w:t>
      </w:r>
      <w:r>
        <w:rPr>
          <w:rFonts w:ascii="Times New Roman;serif" w:hAnsi="Times New Roman;serif"/>
          <w:b w:val="false"/>
          <w:color w:val="000000"/>
          <w:sz w:val="20"/>
        </w:rPr>
        <w:t xml:space="preserve">decrease in </w:t>
      </w:r>
      <w:r>
        <w:rPr>
          <w:rFonts w:ascii="Times New Roman;serif" w:hAnsi="Times New Roman;serif"/>
          <w:b w:val="false"/>
          <w:color w:val="231F20"/>
          <w:sz w:val="20"/>
        </w:rPr>
        <w:t>purchases of</w:t>
      </w:r>
      <w:r>
        <w:rPr>
          <w:color w:val="231F20"/>
        </w:rPr>
        <w:t xml:space="preserve"> </w:t>
      </w:r>
      <w:r>
        <w:rPr>
          <w:rFonts w:ascii="Times New Roman;serif" w:hAnsi="Times New Roman;serif"/>
          <w:b w:val="false"/>
          <w:color w:val="231F20"/>
          <w:sz w:val="20"/>
        </w:rPr>
        <w:t>marketable</w:t>
      </w:r>
      <w:r>
        <w:rPr>
          <w:color w:val="231F20"/>
        </w:rPr>
        <w:t xml:space="preserve"> </w:t>
      </w:r>
      <w:r>
        <w:rPr>
          <w:rFonts w:ascii="Times New Roman;serif" w:hAnsi="Times New Roman;serif"/>
          <w:b w:val="false"/>
          <w:color w:val="231F20"/>
          <w:sz w:val="20"/>
        </w:rPr>
        <w:t xml:space="preserve">securities. </w:t>
      </w:r>
    </w:p>
    <w:p>
      <w:pPr>
        <w:pStyle w:val="TextBody"/>
        <w:bidi w:val="0"/>
        <w:spacing w:lineRule="auto" w:line="288" w:before="360" w:after="283"/>
        <w:ind w:left="0" w:right="0" w:firstLine="576"/>
        <w:jc w:val="both"/>
        <w:rPr>
          <w:rFonts w:ascii="Times New Roman;serif" w:hAnsi="Times New Roman;serif"/>
          <w:b/>
          <w:i/>
          <w:color w:val="231F20"/>
          <w:sz w:val="20"/>
        </w:rPr>
      </w:pPr>
      <w:r>
        <w:rPr>
          <w:rFonts w:ascii="Times New Roman;serif" w:hAnsi="Times New Roman;serif"/>
          <w:b/>
          <w:i/>
          <w:color w:val="231F20"/>
          <w:sz w:val="20"/>
        </w:rPr>
        <w:t>Change in Cash Flows from Financing Activities</w:t>
      </w:r>
    </w:p>
    <w:p>
      <w:pPr>
        <w:pStyle w:val="TextBody"/>
        <w:bidi w:val="0"/>
        <w:spacing w:lineRule="auto" w:line="288" w:before="120" w:after="283"/>
        <w:ind w:left="0" w:right="0" w:firstLine="576"/>
        <w:jc w:val="both"/>
        <w:rPr/>
      </w:pPr>
      <w:r>
        <w:rPr>
          <w:rFonts w:ascii="Times New Roman;serif" w:hAnsi="Times New Roman;serif"/>
          <w:b w:val="false"/>
          <w:color w:val="000000"/>
          <w:sz w:val="20"/>
        </w:rPr>
        <w:t>Net cash provided by financing activities was $7.1 million for the six</w:t>
      </w:r>
      <w:r>
        <w:rPr>
          <w:color w:val="231F20"/>
        </w:rPr>
        <w:t xml:space="preserve"> </w:t>
      </w:r>
      <w:r>
        <w:rPr>
          <w:rFonts w:ascii="Times New Roman;serif" w:hAnsi="Times New Roman;serif"/>
          <w:b w:val="false"/>
          <w:color w:val="231F20"/>
          <w:sz w:val="20"/>
        </w:rPr>
        <w:t>months ended June 30, 2026</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compared to </w:t>
      </w:r>
      <w:r>
        <w:rPr>
          <w:rFonts w:ascii="Times New Roman;serif" w:hAnsi="Times New Roman;serif"/>
          <w:b w:val="false"/>
          <w:color w:val="000000"/>
          <w:sz w:val="20"/>
        </w:rPr>
        <w:t>$5.1 million</w:t>
      </w:r>
      <w:r>
        <w:rPr>
          <w:color w:val="000000"/>
        </w:rPr>
        <w:t xml:space="preserve"> </w:t>
      </w:r>
      <w:r>
        <w:rPr>
          <w:rFonts w:ascii="Times New Roman;serif" w:hAnsi="Times New Roman;serif"/>
          <w:b w:val="false"/>
          <w:color w:val="000000"/>
          <w:sz w:val="20"/>
        </w:rPr>
        <w:t>for the comparable period in 2025. The increase in cash provided by financing activities of $2.0 million was primarily due to a $1.9 million increase in proceeds received from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Material Cash Requirements</w:t>
      </w:r>
    </w:p>
    <w:p>
      <w:pPr>
        <w:pStyle w:val="TextBody"/>
        <w:bidi w:val="0"/>
        <w:spacing w:before="0" w:after="0"/>
        <w:jc w:val="both"/>
        <w:rPr/>
      </w:pPr>
      <w:r>
        <w:rPr/>
      </w:r>
    </w:p>
    <w:p>
      <w:pPr>
        <w:pStyle w:val="TextBody"/>
        <w:bidi w:val="0"/>
        <w:spacing w:lineRule="auto" w:line="288" w:before="0" w:after="0"/>
        <w:ind w:left="0" w:right="0" w:firstLine="576"/>
        <w:jc w:val="both"/>
        <w:rPr/>
      </w:pPr>
      <w:r>
        <w:rPr>
          <w:rFonts w:ascii="Times New Roman;serif" w:hAnsi="Times New Roman;serif"/>
          <w:b w:val="false"/>
          <w:i/>
          <w:color w:val="231F20"/>
          <w:sz w:val="20"/>
        </w:rPr>
        <w:t>Operating</w:t>
      </w:r>
      <w:r>
        <w:rPr>
          <w:color w:val="231F20"/>
        </w:rPr>
        <w:t xml:space="preserve"> </w:t>
      </w:r>
      <w:r>
        <w:rPr>
          <w:rFonts w:ascii="Times New Roman;serif" w:hAnsi="Times New Roman;serif"/>
          <w:b w:val="false"/>
          <w:i/>
          <w:color w:val="231F20"/>
          <w:sz w:val="20"/>
        </w:rPr>
        <w:t>lease</w:t>
      </w:r>
      <w:r>
        <w:rPr>
          <w:color w:val="231F20"/>
        </w:rPr>
        <w:t xml:space="preserve"> </w:t>
      </w:r>
      <w:r>
        <w:rPr>
          <w:rFonts w:ascii="Times New Roman;serif" w:hAnsi="Times New Roman;serif"/>
          <w:b w:val="false"/>
          <w:i/>
          <w:color w:val="231F20"/>
          <w:sz w:val="20"/>
        </w:rPr>
        <w:t>commitments.</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lease</w:t>
      </w:r>
      <w:r>
        <w:rPr>
          <w:color w:val="231F20"/>
        </w:rPr>
        <w:t xml:space="preserve"> </w:t>
      </w:r>
      <w:r>
        <w:rPr>
          <w:rFonts w:ascii="Times New Roman;serif" w:hAnsi="Times New Roman;serif"/>
          <w:b w:val="false"/>
          <w:color w:val="231F20"/>
          <w:sz w:val="20"/>
        </w:rPr>
        <w:t>commitments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include</w:t>
      </w:r>
      <w:r>
        <w:rPr>
          <w:color w:val="231F20"/>
        </w:rPr>
        <w:t xml:space="preserve"> </w:t>
      </w:r>
      <w:r>
        <w:rPr>
          <w:rFonts w:ascii="Times New Roman;serif" w:hAnsi="Times New Roman;serif"/>
          <w:b w:val="false"/>
          <w:color w:val="231F20"/>
          <w:sz w:val="20"/>
        </w:rPr>
        <w:t>corporate</w:t>
      </w:r>
      <w:r>
        <w:rPr>
          <w:color w:val="231F20"/>
        </w:rPr>
        <w:t xml:space="preserve"> </w:t>
      </w:r>
      <w:r>
        <w:rPr>
          <w:rFonts w:ascii="Times New Roman;serif" w:hAnsi="Times New Roman;serif"/>
          <w:b w:val="false"/>
          <w:color w:val="231F20"/>
          <w:sz w:val="20"/>
        </w:rPr>
        <w:t>offices.</w:t>
      </w:r>
      <w:r>
        <w:rPr>
          <w:color w:val="231F20"/>
        </w:rPr>
        <w:t xml:space="preserve"> </w:t>
      </w:r>
      <w:r>
        <w:rPr>
          <w:rFonts w:ascii="Times New Roman;serif" w:hAnsi="Times New Roman;serif"/>
          <w:b w:val="false"/>
          <w:color w:val="231F20"/>
          <w:sz w:val="20"/>
        </w:rPr>
        <w:t xml:space="preserve">For an additional discussion of our operating lease commitments, </w:t>
      </w:r>
      <w:r>
        <w:rPr>
          <w:rFonts w:ascii="Times New Roman;serif" w:hAnsi="Times New Roman;serif"/>
          <w:b w:val="false"/>
          <w:color w:val="000000"/>
          <w:sz w:val="20"/>
        </w:rPr>
        <w:t>s</w:t>
      </w:r>
      <w:r>
        <w:rPr>
          <w:rFonts w:ascii="Times New Roman;serif" w:hAnsi="Times New Roman;serif"/>
          <w:b w:val="false"/>
          <w:color w:val="231F20"/>
          <w:sz w:val="20"/>
        </w:rPr>
        <w:t xml:space="preserve">ee Note 7 - Leases in the notes to the unaudited condensed consolidated financial statements set forth in Part I, Item 1 of this Quarterly Report on Form 10-Q. </w:t>
      </w:r>
    </w:p>
    <w:p>
      <w:pPr>
        <w:pStyle w:val="TextBody"/>
        <w:bidi w:val="0"/>
        <w:spacing w:before="0" w:after="0"/>
        <w:jc w:val="both"/>
        <w:rPr/>
      </w:pPr>
      <w:r>
        <w:rPr/>
      </w:r>
    </w:p>
    <w:p>
      <w:pPr>
        <w:pStyle w:val="TextBody"/>
        <w:bidi w:val="0"/>
        <w:spacing w:lineRule="auto" w:line="288" w:before="0" w:after="0"/>
        <w:ind w:left="0" w:right="0" w:firstLine="576"/>
        <w:jc w:val="both"/>
        <w:rPr/>
      </w:pPr>
      <w:r>
        <w:rPr>
          <w:rFonts w:ascii="Times New Roman;serif" w:hAnsi="Times New Roman;serif"/>
          <w:b w:val="false"/>
          <w:i/>
          <w:color w:val="231F20"/>
          <w:sz w:val="20"/>
        </w:rPr>
        <w:t>Purchase</w:t>
      </w:r>
      <w:r>
        <w:rPr>
          <w:color w:val="231F20"/>
        </w:rPr>
        <w:t xml:space="preserve"> </w:t>
      </w:r>
      <w:r>
        <w:rPr>
          <w:rFonts w:ascii="Times New Roman;serif" w:hAnsi="Times New Roman;serif"/>
          <w:b w:val="false"/>
          <w:i/>
          <w:color w:val="231F20"/>
          <w:sz w:val="20"/>
        </w:rPr>
        <w:t>commitments.</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purchase</w:t>
      </w:r>
      <w:r>
        <w:rPr>
          <w:color w:val="231F20"/>
        </w:rPr>
        <w:t xml:space="preserve"> </w:t>
      </w:r>
      <w:r>
        <w:rPr>
          <w:rFonts w:ascii="Times New Roman;serif" w:hAnsi="Times New Roman;serif"/>
          <w:b w:val="false"/>
          <w:color w:val="231F20"/>
          <w:sz w:val="20"/>
        </w:rPr>
        <w:t>commitments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related</w:t>
      </w:r>
      <w:r>
        <w:rPr>
          <w:color w:val="231F20"/>
        </w:rPr>
        <w:t xml:space="preserve"> </w:t>
      </w:r>
      <w:r>
        <w:rPr>
          <w:rFonts w:ascii="Times New Roman;serif" w:hAnsi="Times New Roman;serif"/>
          <w:b w:val="false"/>
          <w:color w:val="231F20"/>
          <w:sz w:val="20"/>
        </w:rPr>
        <w:t>to software</w:t>
      </w:r>
      <w:r>
        <w:rPr>
          <w:color w:val="231F20"/>
        </w:rPr>
        <w:t xml:space="preserve"> </w:t>
      </w:r>
      <w:r>
        <w:rPr>
          <w:rFonts w:ascii="Times New Roman;serif" w:hAnsi="Times New Roman;serif"/>
          <w:b w:val="false"/>
          <w:color w:val="231F20"/>
          <w:sz w:val="20"/>
        </w:rPr>
        <w:t xml:space="preserve">licenses and cloud hosting. For an additional discussion of our purchase commitments, </w:t>
      </w:r>
      <w:r>
        <w:rPr>
          <w:rFonts w:ascii="Times New Roman;serif" w:hAnsi="Times New Roman;serif"/>
          <w:b w:val="false"/>
          <w:color w:val="000000"/>
          <w:sz w:val="20"/>
        </w:rPr>
        <w:t>s</w:t>
      </w:r>
      <w:r>
        <w:rPr>
          <w:rFonts w:ascii="Times New Roman;serif" w:hAnsi="Times New Roman;serif"/>
          <w:b w:val="false"/>
          <w:color w:val="231F20"/>
          <w:sz w:val="20"/>
        </w:rPr>
        <w:t>ee Note 8 - Commitments and Contingencies in the notes to the unaudited condensed consolidated financial statements set forth in Part I, Item 1 of this Quarterly Report on Form 10-Q.</w:t>
      </w:r>
    </w:p>
    <w:p>
      <w:pPr>
        <w:pStyle w:val="TextBody"/>
        <w:bidi w:val="0"/>
        <w:spacing w:before="0" w:after="0"/>
        <w:ind w:left="0" w:right="0" w:firstLine="576"/>
        <w:jc w:val="both"/>
        <w:rPr/>
      </w:pPr>
      <w:r>
        <w:rPr/>
      </w:r>
    </w:p>
    <w:p>
      <w:pPr>
        <w:pStyle w:val="TextBody"/>
        <w:bidi w:val="0"/>
        <w:spacing w:lineRule="auto" w:line="288" w:before="0" w:after="0"/>
        <w:ind w:left="0" w:right="0" w:firstLine="576"/>
        <w:jc w:val="both"/>
        <w:rPr/>
      </w:pPr>
      <w:r>
        <w:rPr>
          <w:rFonts w:ascii="Times New Roman;serif" w:hAnsi="Times New Roman;serif"/>
          <w:b w:val="false"/>
          <w:color w:val="000000"/>
          <w:sz w:val="20"/>
        </w:rPr>
        <w:t>For an additional discussion of our Material Cash Requirements, s</w:t>
      </w:r>
      <w:r>
        <w:rPr>
          <w:rFonts w:ascii="Times New Roman;serif" w:hAnsi="Times New Roman;serif"/>
          <w:b w:val="false"/>
          <w:color w:val="231F20"/>
          <w:sz w:val="20"/>
        </w:rPr>
        <w:t>ee Note 8 - Commitments and Contingencies in the notes to the unaudited condensed consolidated financial statements set forth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both"/>
        <w:rPr/>
      </w:pPr>
      <w:r>
        <w:rPr>
          <w:rFonts w:ascii="Times New Roman;serif" w:hAnsi="Times New Roman;serif"/>
          <w:b/>
          <w:color w:val="231F20"/>
          <w:sz w:val="20"/>
        </w:rPr>
        <w:t>Indemnification</w:t>
      </w:r>
      <w:r>
        <w:rPr>
          <w:color w:val="231F20"/>
        </w:rPr>
        <w:t xml:space="preserve"> </w:t>
      </w:r>
      <w:r>
        <w:rPr>
          <w:rFonts w:ascii="Times New Roman;serif" w:hAnsi="Times New Roman;serif"/>
          <w:b/>
          <w:color w:val="231F20"/>
          <w:sz w:val="20"/>
        </w:rPr>
        <w:t>Agreements</w:t>
      </w:r>
    </w:p>
    <w:p>
      <w:pPr>
        <w:pStyle w:val="TextBody"/>
        <w:bidi w:val="0"/>
        <w:spacing w:lineRule="auto" w:line="288" w:before="120" w:after="283"/>
        <w:ind w:left="0" w:right="0" w:firstLine="576"/>
        <w:jc w:val="both"/>
        <w:rPr>
          <w:rFonts w:ascii="Times New Roman;serif" w:hAnsi="Times New Roman;serif"/>
          <w:b w:val="false"/>
          <w:color w:val="231F20"/>
          <w:sz w:val="20"/>
        </w:rPr>
      </w:pPr>
      <w:r>
        <w:rPr>
          <w:rFonts w:ascii="Times New Roman;serif" w:hAnsi="Times New Roman;serif"/>
          <w:b w:val="false"/>
          <w:color w:val="231F20"/>
          <w:sz w:val="20"/>
        </w:rPr>
        <w:t>See Note 8 - Commitments and Contingencies in the notes to the unaudited condensed consolidated financial statements set forth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erif" w:hAnsi="Times New Roman;serif"/>
          <w:b/>
          <w:color w:val="231F20"/>
          <w:sz w:val="20"/>
        </w:rPr>
        <w:t>Critical</w:t>
      </w:r>
      <w:r>
        <w:rPr>
          <w:color w:val="231F20"/>
        </w:rPr>
        <w:t xml:space="preserve"> </w:t>
      </w:r>
      <w:r>
        <w:rPr>
          <w:rFonts w:ascii="Times New Roman;serif" w:hAnsi="Times New Roman;serif"/>
          <w:b/>
          <w:color w:val="231F20"/>
          <w:sz w:val="20"/>
        </w:rPr>
        <w:t>Accounting Estimates</w:t>
      </w:r>
    </w:p>
    <w:p>
      <w:pPr>
        <w:pStyle w:val="TextBody"/>
        <w:bidi w:val="0"/>
        <w:spacing w:lineRule="auto" w:line="288" w:before="120" w:after="283"/>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and the related notes thereto included elsewhere in this Quarterly Report on Form 10-Q are prepared in accordance with GAAP. The preparation of unaudited condensed consolidated financial statements in accordance with GAAP requires us to make certain estimates, judgments, and assumptions that affect the reported amounts of assets and liabilities and the related disclosures as of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before="0" w:after="0"/>
        <w:jc w:val="both"/>
        <w:rPr/>
      </w:pPr>
      <w:r>
        <w:rPr/>
      </w:r>
    </w:p>
    <w:p>
      <w:pPr>
        <w:pStyle w:val="TextBody"/>
        <w:bidi w:val="0"/>
        <w:spacing w:lineRule="auto" w:line="288" w:before="0" w:after="120"/>
        <w:ind w:left="0" w:right="0" w:firstLine="576"/>
        <w:jc w:val="both"/>
        <w:rPr/>
      </w:pPr>
      <w:r>
        <w:rPr>
          <w:rFonts w:ascii="Times New Roman;serif" w:hAnsi="Times New Roman;serif"/>
          <w:b w:val="false"/>
          <w:color w:val="000000"/>
          <w:sz w:val="20"/>
        </w:rPr>
        <w:t xml:space="preserve">There have been no material changes to our critical accounting policies and estimates as described in our </w:t>
      </w:r>
      <w:r>
        <w:rPr>
          <w:rFonts w:ascii="Times New Roman;serif" w:hAnsi="Times New Roman;serif"/>
          <w:b w:val="false"/>
          <w:color w:val="231F20"/>
          <w:sz w:val="20"/>
        </w:rPr>
        <w:t>Annual Report on Form 10-K for the year ended December 31, 2025</w:t>
      </w: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Recent Accounting Pronouncements</w:t>
      </w:r>
    </w:p>
    <w:p>
      <w:pPr>
        <w:pStyle w:val="TextBody"/>
        <w:bidi w:val="0"/>
        <w:spacing w:lineRule="auto" w:line="288" w:before="120" w:after="120"/>
        <w:ind w:left="0" w:right="0" w:firstLine="576"/>
        <w:jc w:val="both"/>
        <w:rPr/>
      </w:pP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more</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see</w:t>
      </w:r>
      <w:r>
        <w:rPr>
          <w:color w:val="231F20"/>
        </w:rPr>
        <w:t xml:space="preserve"> </w:t>
      </w:r>
      <w:r>
        <w:rPr>
          <w:rFonts w:ascii="Times New Roman;serif" w:hAnsi="Times New Roman;serif"/>
          <w:b w:val="false"/>
          <w:color w:val="231F20"/>
          <w:sz w:val="20"/>
        </w:rPr>
        <w:t>Note</w:t>
      </w:r>
      <w:r>
        <w:rPr>
          <w:color w:val="231F20"/>
        </w:rPr>
        <w:t xml:space="preserve"> </w:t>
      </w:r>
      <w:r>
        <w:rPr>
          <w:rFonts w:ascii="Times New Roman;serif" w:hAnsi="Times New Roman;serif"/>
          <w:b w:val="false"/>
          <w:color w:val="231F20"/>
          <w:sz w:val="20"/>
        </w:rPr>
        <w:t>1 -</w:t>
      </w:r>
      <w:r>
        <w:rPr>
          <w:color w:val="000000"/>
        </w:rPr>
        <w:t xml:space="preserve"> </w:t>
      </w:r>
      <w:r>
        <w:rPr>
          <w:rFonts w:ascii="Times New Roman;serif" w:hAnsi="Times New Roman;serif"/>
          <w:b w:val="false"/>
          <w:color w:val="000000"/>
          <w:sz w:val="20"/>
        </w:rPr>
        <w:t>Nature of Business and Summary of Significant Accounting Policies</w:t>
      </w:r>
      <w:r>
        <w:rPr>
          <w:color w:val="000000"/>
        </w:rPr>
        <w:t xml:space="preserve"> </w:t>
      </w:r>
      <w:r>
        <w:rPr>
          <w:rFonts w:ascii="Times New Roman;serif" w:hAnsi="Times New Roman;serif"/>
          <w:b w:val="false"/>
          <w:color w:val="231F20"/>
          <w:sz w:val="20"/>
        </w:rPr>
        <w:t>in the notes to the</w:t>
      </w:r>
      <w:r>
        <w:rPr>
          <w:color w:val="231F20"/>
        </w:rPr>
        <w:t xml:space="preserve"> </w:t>
      </w:r>
      <w:r>
        <w:rPr>
          <w:rFonts w:ascii="Times New Roman;serif" w:hAnsi="Times New Roman;serif"/>
          <w:b w:val="false"/>
          <w:color w:val="231F20"/>
          <w:sz w:val="20"/>
        </w:rPr>
        <w:t>unaudited condensed 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 set forth in Part I, Item 1 of</w:t>
      </w:r>
      <w:r>
        <w:rPr>
          <w:color w:val="231F20"/>
        </w:rPr>
        <w:t xml:space="preserve"> </w:t>
      </w:r>
      <w:r>
        <w:rPr>
          <w:rFonts w:ascii="Times New Roman;serif" w:hAnsi="Times New Roman;serif"/>
          <w:b w:val="false"/>
          <w:color w:val="231F20"/>
          <w:sz w:val="20"/>
        </w:rPr>
        <w:t>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Item 3. Quantitative and Qualitative Disclosures About Market Risk</w:t>
      </w:r>
    </w:p>
    <w:p>
      <w:pPr>
        <w:pStyle w:val="TextBody"/>
        <w:bidi w:val="0"/>
        <w:spacing w:lineRule="auto" w:line="288" w:before="120" w:after="283"/>
        <w:ind w:left="0" w:right="0" w:firstLine="576"/>
        <w:jc w:val="both"/>
        <w:rPr/>
      </w:pPr>
      <w:r>
        <w:rPr>
          <w:rFonts w:ascii="Times New Roman;serif" w:hAnsi="Times New Roman;serif"/>
          <w:b w:val="false"/>
          <w:color w:val="231F20"/>
          <w:sz w:val="20"/>
        </w:rPr>
        <w:t xml:space="preserve">Interest rate risk and foreign currency exchange risk are described in Part II, Item 7A, “Quantitative and Qualitative Disclosures About Market Risk” in our Annual Report on Form 10-K for the year ended December 31, 2025. As of </w:t>
      </w:r>
      <w:r>
        <w:rPr>
          <w:rFonts w:ascii="Times New Roman;serif" w:hAnsi="Times New Roman;serif"/>
          <w:b w:val="false"/>
          <w:color w:val="000000"/>
          <w:sz w:val="20"/>
        </w:rPr>
        <w:t>June 30, 2026, there have been no material changes to the interest rate and foreign currency exchange risk described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Our disclosure controls and procedures are designed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CEO and CFO, as appropriate, to allow timely decisions regarding required disclosure. Based on such evaluation, our Chief Executive Officer and Chief Financial Officer have concluded that, as of June 30, 2026, our disclosure controls and procedures were effective at a reasonable assurance level.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are not currently a party to any material pending legal proceedings. From time to time, we may be subject to legal proceedings and claims arising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For a discussion of potential risks and uncertainties, see the information in the section titled “Risk Factors” in the Annual Report on Form 10-K for the year ended December 31, 2025. As of the date of this Quarterly Report on Form 10-Q, there have been no material changes from the risk factors disclosed in our Annual Report on Form 10-K for the year ended December 31, 2025.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0" w:after="120"/>
        <w:jc w:val="both"/>
        <w:rPr>
          <w:rFonts w:ascii="Times New Roman;serif" w:hAnsi="Times New Roman;serif"/>
          <w:b/>
          <w:color w:val="231F20"/>
          <w:sz w:val="20"/>
        </w:rPr>
      </w:pPr>
      <w:r>
        <w:rPr>
          <w:rFonts w:ascii="Times New Roman;serif" w:hAnsi="Times New Roman;serif"/>
          <w:b/>
          <w:color w:val="231F20"/>
          <w:sz w:val="20"/>
        </w:rPr>
        <w:t xml:space="preserve">Use of Proceeds from our IPO </w:t>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On March 19, 2024, our registration statement on Form S-1, as amended (File No. 333-277205), was declared effective by the SEC for our initial public offering. There has been no material change in the expected use of the net proceeds from our IPO as described in the final prospectus, dated March 19, 2024 and filed with the SEC on March 21, 2024 pursuant to Rule 424(b)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bookmarkStart w:id="1" w:name="ib768d71e63e14b6380aa6d25ca994048_4366"/>
      <w:bookmarkEnd w:id="1"/>
      <w:r>
        <w:rPr>
          <w:rFonts w:ascii="Times New Roman;serif" w:hAnsi="Times New Roman;serif"/>
          <w:b/>
          <w:color w:val="000000"/>
          <w:sz w:val="20"/>
        </w:rPr>
        <w:t>Item 5. Other Information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Insider Adoption or Termination of Trading Arrangements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directors or officers (as defined in Rule 16a-1(f) of the Exchange Act) adopted, terminated or modified the amount, pricing, timing or provisions in a “Rule 10b5-1 trading arrangement” or a “non-Rule 10b5-1 trading agreement” (each as defined in Item 408 of Regulation S-K) during the quarterly period covered by this report as described in the table below: </w:t>
      </w:r>
    </w:p>
    <w:p>
      <w:pPr>
        <w:pStyle w:val="TextBody"/>
        <w:bidi w:val="0"/>
        <w:spacing w:before="0" w:after="0"/>
        <w:ind w:left="0" w:right="0" w:firstLine="576"/>
        <w:jc w:val="both"/>
        <w:rPr/>
      </w:pPr>
      <w:r>
        <w:rPr/>
      </w:r>
    </w:p>
    <w:p>
      <w:pPr>
        <w:pStyle w:val="TextBody"/>
        <w:bidi w:val="0"/>
        <w:spacing w:before="0" w:after="0"/>
        <w:ind w:left="0" w:right="0" w:firstLine="576"/>
        <w:jc w:val="both"/>
        <w:rPr/>
      </w:pPr>
      <w:r>
        <w:rPr/>
      </w:r>
    </w:p>
    <w:tbl>
      <w:tblPr>
        <w:tblW w:w="10205" w:type="dxa"/>
        <w:jc w:val="left"/>
        <w:tblInd w:w="0" w:type="dxa"/>
        <w:tblLayout w:type="fixed"/>
        <w:tblCellMar>
          <w:top w:w="28" w:type="dxa"/>
          <w:left w:w="28" w:type="dxa"/>
          <w:bottom w:w="28" w:type="dxa"/>
          <w:right w:w="28" w:type="dxa"/>
        </w:tblCellMar>
      </w:tblPr>
      <w:tblGrid>
        <w:gridCol w:w="362"/>
        <w:gridCol w:w="317"/>
        <w:gridCol w:w="321"/>
        <w:gridCol w:w="317"/>
        <w:gridCol w:w="317"/>
        <w:gridCol w:w="324"/>
        <w:gridCol w:w="294"/>
        <w:gridCol w:w="294"/>
        <w:gridCol w:w="298"/>
        <w:gridCol w:w="291"/>
        <w:gridCol w:w="291"/>
        <w:gridCol w:w="292"/>
        <w:gridCol w:w="626"/>
        <w:gridCol w:w="578"/>
        <w:gridCol w:w="579"/>
        <w:gridCol w:w="1187"/>
        <w:gridCol w:w="1187"/>
        <w:gridCol w:w="1191"/>
        <w:gridCol w:w="330"/>
        <w:gridCol w:w="330"/>
        <w:gridCol w:w="479"/>
      </w:tblGrid>
      <w:tr>
        <w:trPr/>
        <w:tc>
          <w:tcPr>
            <w:tcW w:w="36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Action</w:t>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Date Adopted </w:t>
            </w:r>
          </w:p>
        </w:tc>
        <w:tc>
          <w:tcPr>
            <w:tcW w:w="178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Character of Trading Arrangement </w:t>
            </w:r>
            <w:r>
              <w:rPr>
                <w:rFonts w:ascii="Times New Roman;serif" w:hAnsi="Times New Roman;serif"/>
                <w:b/>
                <w:color w:val="000000"/>
                <w:sz w:val="10"/>
              </w:rPr>
              <w:t>(1)</w:t>
            </w:r>
          </w:p>
        </w:tc>
        <w:tc>
          <w:tcPr>
            <w:tcW w:w="3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Number of Shares of Common Stock to be Purchased or Sold Pursuant to a Trading Arrangement</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Expiration Date </w:t>
            </w:r>
            <w:r>
              <w:rPr>
                <w:rFonts w:ascii="Times New Roman;serif" w:hAnsi="Times New Roman;serif"/>
                <w:b/>
                <w:color w:val="000000"/>
                <w:sz w:val="10"/>
              </w:rPr>
              <w:t>(2)</w:t>
            </w:r>
          </w:p>
        </w:tc>
      </w:tr>
      <w:tr>
        <w:trPr/>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Manuel Alba </w:t>
            </w:r>
            <w:r>
              <w:rPr>
                <w:rFonts w:ascii="Times New Roman;serif" w:hAnsi="Times New Roman;serif"/>
                <w:b w:val="false"/>
                <w:color w:val="000000"/>
                <w:sz w:val="13"/>
              </w:rPr>
              <w:t>(3)</w:t>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5/22/2026</w:t>
            </w:r>
          </w:p>
        </w:tc>
        <w:tc>
          <w:tcPr>
            <w:tcW w:w="17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3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1,412,000</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8/31/2027</w:t>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56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56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56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Except as indicated by footnote, each trading arrangement marked as a “Rule 10b5-1 Trading Arrangement” is intended to satisfy the affirmative defense of Rule 10b5-1(c) of the Exchange Act, as amended (the “Rule”).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 Except as indicated by footnote, each trading arrangement permitted or permits transactions through and including the earlier to occur of (a) the completion of sales or (b) the date listed in the table. Each trading arrangement marked as a “Rule 10b5-1 Trading Arrangement” only permits transactions upon expiration of the applicable mandatory cooling-off period under the Rule and is scheduled to terminate on the earlier of the expiration date or when all shares are sold under such plan, subject to early termination for certain specified events set forth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 The shares covered by this trading arrangement include certain shares that are held by trusts and may be deemed to be indirectly beneficially owned by Manuel Alba.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exhibits listed below are filed as part of this Quarterly Report on Form 10-Q, or are incorporated herein by reference, in each case as indicated below:</w:t>
      </w:r>
    </w:p>
    <w:tbl>
      <w:tblPr>
        <w:tblW w:w="10205" w:type="dxa"/>
        <w:jc w:val="left"/>
        <w:tblInd w:w="0" w:type="dxa"/>
        <w:tblLayout w:type="fixed"/>
        <w:tblCellMar>
          <w:top w:w="28" w:type="dxa"/>
          <w:left w:w="28" w:type="dxa"/>
          <w:bottom w:w="28" w:type="dxa"/>
          <w:right w:w="28" w:type="dxa"/>
        </w:tblCellMar>
      </w:tblPr>
      <w:tblGrid>
        <w:gridCol w:w="301"/>
        <w:gridCol w:w="266"/>
        <w:gridCol w:w="267"/>
        <w:gridCol w:w="109"/>
        <w:gridCol w:w="109"/>
        <w:gridCol w:w="109"/>
        <w:gridCol w:w="1405"/>
        <w:gridCol w:w="1405"/>
        <w:gridCol w:w="1417"/>
        <w:gridCol w:w="109"/>
        <w:gridCol w:w="109"/>
        <w:gridCol w:w="109"/>
        <w:gridCol w:w="170"/>
        <w:gridCol w:w="170"/>
        <w:gridCol w:w="171"/>
        <w:gridCol w:w="109"/>
        <w:gridCol w:w="109"/>
        <w:gridCol w:w="109"/>
        <w:gridCol w:w="147"/>
        <w:gridCol w:w="147"/>
        <w:gridCol w:w="148"/>
        <w:gridCol w:w="109"/>
        <w:gridCol w:w="109"/>
        <w:gridCol w:w="109"/>
        <w:gridCol w:w="232"/>
        <w:gridCol w:w="232"/>
        <w:gridCol w:w="233"/>
        <w:gridCol w:w="109"/>
        <w:gridCol w:w="109"/>
        <w:gridCol w:w="109"/>
        <w:gridCol w:w="203"/>
        <w:gridCol w:w="203"/>
        <w:gridCol w:w="204"/>
        <w:gridCol w:w="109"/>
        <w:gridCol w:w="109"/>
        <w:gridCol w:w="109"/>
        <w:gridCol w:w="268"/>
        <w:gridCol w:w="268"/>
        <w:gridCol w:w="386"/>
      </w:tblGrid>
      <w:tr>
        <w:trPr/>
        <w:tc>
          <w:tcPr>
            <w:tcW w:w="3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16"/>
              </w:rPr>
              <w:t>Exhibit</w:t>
            </w:r>
            <w:r>
              <w:rPr>
                <w:color w:val="231F20"/>
              </w:rPr>
              <w:t xml:space="preserve"> </w:t>
            </w:r>
            <w:r>
              <w:rPr>
                <w:rFonts w:ascii="Times New Roman;serif" w:hAnsi="Times New Roman;serif"/>
                <w:b/>
                <w:color w:val="231F2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16"/>
              </w:rPr>
              <w:t>Exhibit</w:t>
            </w:r>
            <w:r>
              <w:rPr>
                <w:color w:val="231F20"/>
              </w:rPr>
              <w:t xml:space="preserve"> </w:t>
            </w:r>
            <w:r>
              <w:rPr>
                <w:rFonts w:ascii="Times New Roman;serif" w:hAnsi="Times New Roman;serif"/>
                <w:b/>
                <w:color w:val="231F2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exhibit311.htm">
              <w:r>
                <w:rPr>
                  <w:rStyle w:val="InternetLink"/>
                  <w:rFonts w:ascii="Times New Roman;serif" w:hAnsi="Times New Roman;serif"/>
                  <w:b w:val="false"/>
                  <w:color w:val="0000FF"/>
                  <w:sz w:val="20"/>
                  <w:u w:val="single"/>
                </w:rPr>
                <w:t>Certification of Principal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exhibit312.htm">
              <w:r>
                <w:rPr>
                  <w:rStyle w:val="InternetLink"/>
                  <w:rFonts w:ascii="Times New Roman;serif" w:hAnsi="Times New Roman;serif"/>
                  <w:b w:val="false"/>
                  <w:color w:val="0000FF"/>
                  <w:sz w:val="20"/>
                  <w:u w:val="single"/>
                </w:rPr>
                <w:t>Certification of Principal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101.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pPr>
      <w:r>
        <w:rPr>
          <w:rFonts w:ascii="Times New Roman;serif" w:hAnsi="Times New Roman;serif"/>
          <w:b w:val="false"/>
          <w:color w:val="000000"/>
          <w:sz w:val="20"/>
        </w:rPr>
        <w:t>*    </w:t>
      </w:r>
      <w:r>
        <w:rPr>
          <w:rFonts w:ascii="Times New Roman;serif" w:hAnsi="Times New Roman;serif"/>
          <w:b w:val="false"/>
          <w:color w:val="000000"/>
          <w:sz w:val="20"/>
          <w:shd w:fill="FFFFFF" w:val="clear"/>
        </w:rPr>
        <w:t>The certifications attached as Exhibits 32.1 and 32.2 that accompany this Quarterly Report on Form 10-Q are deemed “furnished” and not “filed” for purposes of Section 18 of the Exchange Act. Such certifications will not be deemed to be incorporated by reference into any filings under the Securities Act or the Exchange Act, except to the extent specifically incorporated by reference into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w:t>
                      </w:r>
                    </w:p>
                  </w:txbxContent>
                </v:textbox>
                <w10:wrap type="none"/>
              </v:rect>
            </w:pict>
          </mc:Fallback>
        </mc:AlternateContent>
      </w:r>
    </w:p>
    <w:p>
      <w:pPr>
        <w:pStyle w:val="TextBody"/>
        <w:bidi w:val="0"/>
        <w:spacing w:lineRule="auto" w:line="288" w:before="160" w:after="283"/>
        <w:jc w:val="left"/>
        <w:rPr/>
      </w:pPr>
      <w:hyperlink w:anchor="iff085c684a214624a7920190292d1df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240" w:after="283"/>
        <w:ind w:left="0" w:right="0" w:firstLine="360"/>
        <w:jc w:val="both"/>
        <w:rPr/>
      </w:pPr>
      <w:r>
        <w:rPr>
          <w:rFonts w:ascii="Times New Roman;serif" w:hAnsi="Times New Roman;serif"/>
          <w:b w:val="false"/>
          <w:color w:val="231F20"/>
          <w:sz w:val="20"/>
        </w:rPr>
        <w:t>Pursuant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requirements</w:t>
      </w:r>
      <w:r>
        <w:rPr>
          <w:color w:val="231F20"/>
        </w:rPr>
        <w:t xml:space="preserve"> </w:t>
      </w:r>
      <w:r>
        <w:rPr>
          <w:rFonts w:ascii="Times New Roman;serif" w:hAnsi="Times New Roman;serif"/>
          <w:b w:val="false"/>
          <w:color w:val="231F20"/>
          <w:sz w:val="20"/>
        </w:rPr>
        <w:t>of the</w:t>
      </w:r>
      <w:r>
        <w:rPr>
          <w:color w:val="231F20"/>
        </w:rPr>
        <w:t xml:space="preserve"> </w:t>
      </w:r>
      <w:r>
        <w:rPr>
          <w:rFonts w:ascii="Times New Roman;serif" w:hAnsi="Times New Roman;serif"/>
          <w:b w:val="false"/>
          <w:color w:val="231F20"/>
          <w:sz w:val="20"/>
        </w:rPr>
        <w:t>Securities</w:t>
      </w:r>
      <w:r>
        <w:rPr>
          <w:color w:val="231F20"/>
        </w:rPr>
        <w:t xml:space="preserve"> </w:t>
      </w:r>
      <w:r>
        <w:rPr>
          <w:rFonts w:ascii="Times New Roman;serif" w:hAnsi="Times New Roman;serif"/>
          <w:b w:val="false"/>
          <w:color w:val="231F20"/>
          <w:sz w:val="20"/>
        </w:rPr>
        <w:t>Exchange</w:t>
      </w:r>
      <w:r>
        <w:rPr>
          <w:color w:val="231F20"/>
        </w:rPr>
        <w:t xml:space="preserve"> </w:t>
      </w:r>
      <w:r>
        <w:rPr>
          <w:rFonts w:ascii="Times New Roman;serif" w:hAnsi="Times New Roman;serif"/>
          <w:b w:val="false"/>
          <w:color w:val="231F20"/>
          <w:sz w:val="20"/>
        </w:rPr>
        <w:t>Act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1934, as amended,</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4"/>
        </w:rPr>
        <w:t>r</w:t>
      </w:r>
      <w:r>
        <w:rPr>
          <w:rFonts w:ascii="Times New Roman;serif" w:hAnsi="Times New Roman;serif"/>
          <w:b w:val="false"/>
          <w:color w:val="231F20"/>
          <w:sz w:val="20"/>
        </w:rPr>
        <w:t>egistrant</w:t>
      </w:r>
      <w:r>
        <w:rPr>
          <w:color w:val="231F20"/>
        </w:rPr>
        <w:t xml:space="preserve"> </w:t>
      </w:r>
      <w:r>
        <w:rPr>
          <w:rFonts w:ascii="Times New Roman;serif" w:hAnsi="Times New Roman;serif"/>
          <w:b w:val="false"/>
          <w:color w:val="231F20"/>
          <w:sz w:val="20"/>
        </w:rPr>
        <w:t>has duly caused</w:t>
      </w:r>
      <w:r>
        <w:rPr>
          <w:color w:val="231F20"/>
        </w:rPr>
        <w:t xml:space="preserve"> </w:t>
      </w:r>
      <w:r>
        <w:rPr>
          <w:rFonts w:ascii="Times New Roman;serif" w:hAnsi="Times New Roman;serif"/>
          <w:b w:val="false"/>
          <w:color w:val="231F20"/>
          <w:sz w:val="20"/>
        </w:rPr>
        <w:t>this report to</w:t>
      </w:r>
      <w:r>
        <w:rPr>
          <w:color w:val="231F20"/>
        </w:rPr>
        <w:t xml:space="preserve"> </w:t>
      </w:r>
      <w:r>
        <w:rPr>
          <w:rFonts w:ascii="Times New Roman;serif" w:hAnsi="Times New Roman;serif"/>
          <w:b w:val="false"/>
          <w:color w:val="231F20"/>
          <w:sz w:val="20"/>
        </w:rPr>
        <w:t>be signed</w:t>
      </w:r>
      <w:r>
        <w:rPr>
          <w:color w:val="231F20"/>
        </w:rPr>
        <w:t xml:space="preserve"> </w:t>
      </w:r>
      <w:r>
        <w:rPr>
          <w:rFonts w:ascii="Times New Roman;serif" w:hAnsi="Times New Roman;serif"/>
          <w:b w:val="false"/>
          <w:color w:val="231F20"/>
          <w:sz w:val="20"/>
        </w:rPr>
        <w:t>on its</w:t>
      </w:r>
      <w:r>
        <w:rPr>
          <w:color w:val="231F20"/>
        </w:rPr>
        <w:t xml:space="preserve"> </w:t>
      </w:r>
      <w:r>
        <w:rPr>
          <w:rFonts w:ascii="Times New Roman;serif" w:hAnsi="Times New Roman;serif"/>
          <w:b w:val="false"/>
          <w:color w:val="231F20"/>
          <w:sz w:val="20"/>
        </w:rPr>
        <w:t>behalf</w:t>
      </w:r>
      <w:r>
        <w:rPr>
          <w:color w:val="231F20"/>
        </w:rPr>
        <w:t xml:space="preserve"> </w:t>
      </w:r>
      <w:r>
        <w:rPr>
          <w:rFonts w:ascii="Times New Roman;serif" w:hAnsi="Times New Roman;serif"/>
          <w:b w:val="false"/>
          <w:color w:val="231F20"/>
          <w:sz w:val="20"/>
        </w:rPr>
        <w:t>by the</w:t>
      </w:r>
      <w:r>
        <w:rPr>
          <w:color w:val="231F20"/>
        </w:rPr>
        <w:t xml:space="preserve"> </w:t>
      </w:r>
      <w:r>
        <w:rPr>
          <w:rFonts w:ascii="Times New Roman;serif" w:hAnsi="Times New Roman;serif"/>
          <w:b w:val="false"/>
          <w:color w:val="231F20"/>
          <w:sz w:val="20"/>
        </w:rPr>
        <w:t>undersigned,</w:t>
      </w:r>
      <w:r>
        <w:rPr>
          <w:color w:val="231F20"/>
        </w:rPr>
        <w:t xml:space="preserve"> </w:t>
      </w:r>
      <w:r>
        <w:rPr>
          <w:rFonts w:ascii="Times New Roman;serif" w:hAnsi="Times New Roman;serif"/>
          <w:b w:val="false"/>
          <w:color w:val="231F20"/>
          <w:sz w:val="20"/>
        </w:rPr>
        <w:t>thereunto</w:t>
      </w:r>
      <w:r>
        <w:rPr>
          <w:color w:val="231F20"/>
        </w:rPr>
        <w:t xml:space="preserve"> </w:t>
      </w:r>
      <w:r>
        <w:rPr>
          <w:rFonts w:ascii="Times New Roman;serif" w:hAnsi="Times New Roman;serif"/>
          <w:b w:val="false"/>
          <w:color w:val="231F20"/>
          <w:sz w:val="20"/>
        </w:rPr>
        <w:t>duly authorized</w:t>
      </w:r>
      <w:r>
        <w:rPr>
          <w:rFonts w:ascii="Times New Roman;serif" w:hAnsi="Times New Roman;serif"/>
          <w:b w:val="false"/>
          <w:color w:val="231F20"/>
          <w:sz w:val="24"/>
        </w:rPr>
        <w:t>.</w:t>
      </w:r>
    </w:p>
    <w:tbl>
      <w:tblPr>
        <w:tblW w:w="5302" w:type="dxa"/>
        <w:jc w:val="left"/>
        <w:tblInd w:w="0" w:type="dxa"/>
        <w:tblLayout w:type="fixed"/>
        <w:tblCellMar>
          <w:top w:w="28" w:type="dxa"/>
          <w:left w:w="28" w:type="dxa"/>
          <w:bottom w:w="28" w:type="dxa"/>
          <w:right w:w="28" w:type="dxa"/>
        </w:tblCellMar>
      </w:tblPr>
      <w:tblGrid>
        <w:gridCol w:w="342"/>
        <w:gridCol w:w="300"/>
        <w:gridCol w:w="300"/>
        <w:gridCol w:w="300"/>
        <w:gridCol w:w="300"/>
        <w:gridCol w:w="300"/>
        <w:gridCol w:w="109"/>
        <w:gridCol w:w="109"/>
        <w:gridCol w:w="109"/>
        <w:gridCol w:w="323"/>
        <w:gridCol w:w="323"/>
        <w:gridCol w:w="323"/>
        <w:gridCol w:w="556"/>
        <w:gridCol w:w="556"/>
        <w:gridCol w:w="571"/>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20"/>
              </w:rPr>
              <w:t>ASTERA</w:t>
            </w:r>
            <w:r>
              <w:rPr>
                <w:color w:val="231F20"/>
              </w:rPr>
              <w:t xml:space="preserve"> </w:t>
            </w:r>
            <w:r>
              <w:rPr>
                <w:rFonts w:ascii="Times New Roman;serif" w:hAnsi="Times New Roman;serif"/>
                <w:b/>
                <w:color w:val="231F20"/>
                <w:sz w:val="20"/>
              </w:rPr>
              <w:t>LABS,</w:t>
            </w:r>
            <w:r>
              <w:rPr>
                <w:color w:val="231F20"/>
              </w:rPr>
              <w:t xml:space="preserve"> </w:t>
            </w:r>
            <w:r>
              <w:rPr>
                <w:rFonts w:ascii="Times New Roman;serif" w:hAnsi="Times New Roman;serif"/>
                <w:b/>
                <w:color w:val="231F20"/>
                <w:sz w:val="20"/>
              </w:rPr>
              <w:t>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By:</w:t>
            </w:r>
          </w:p>
        </w:tc>
        <w:tc>
          <w:tcPr>
            <w:tcW w:w="16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/s/ Desmond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Name:</w:t>
            </w:r>
          </w:p>
        </w:tc>
        <w:tc>
          <w:tcPr>
            <w:tcW w:w="16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Desmond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Title:</w:t>
            </w:r>
          </w:p>
        </w:tc>
        <w:tc>
          <w:tcPr>
            <w:tcW w:w="201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Jitendra Mohan,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Astera Labs,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601"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09"/>
        <w:gridCol w:w="109"/>
        <w:gridCol w:w="109"/>
        <w:gridCol w:w="208"/>
        <w:gridCol w:w="208"/>
        <w:gridCol w:w="213"/>
        <w:gridCol w:w="670"/>
        <w:gridCol w:w="670"/>
        <w:gridCol w:w="672"/>
        <w:gridCol w:w="135"/>
        <w:gridCol w:w="135"/>
        <w:gridCol w:w="1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Jitendra Mohan</w:t>
            </w:r>
          </w:p>
        </w:tc>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Jitendra Mohan</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Desmond Lynch,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Astera Labs,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542"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09"/>
        <w:gridCol w:w="109"/>
        <w:gridCol w:w="109"/>
        <w:gridCol w:w="208"/>
        <w:gridCol w:w="208"/>
        <w:gridCol w:w="213"/>
        <w:gridCol w:w="658"/>
        <w:gridCol w:w="658"/>
        <w:gridCol w:w="661"/>
        <w:gridCol w:w="128"/>
        <w:gridCol w:w="128"/>
        <w:gridCol w:w="1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Desmond Lynch</w:t>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Desmond Lynch</w:t>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Astera Labs, Inc. (the “Company”) for the fiscal quarter ended June 30, 2026 as filed with the Securities and Exchange Commission on the date hereof (the “Report”), I, Jitendra Mohan, Chief Executive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both"/>
        <w:rPr/>
      </w:pPr>
      <w:r>
        <w:rPr/>
      </w:r>
    </w:p>
    <w:tbl>
      <w:tblPr>
        <w:tblW w:w="5271" w:type="dxa"/>
        <w:jc w:val="left"/>
        <w:tblInd w:w="0" w:type="dxa"/>
        <w:tblLayout w:type="fixed"/>
        <w:tblCellMar>
          <w:top w:w="28" w:type="dxa"/>
          <w:left w:w="28" w:type="dxa"/>
          <w:bottom w:w="28" w:type="dxa"/>
          <w:right w:w="28" w:type="dxa"/>
        </w:tblCellMar>
      </w:tblPr>
      <w:tblGrid>
        <w:gridCol w:w="342"/>
        <w:gridCol w:w="300"/>
        <w:gridCol w:w="300"/>
        <w:gridCol w:w="300"/>
        <w:gridCol w:w="300"/>
        <w:gridCol w:w="300"/>
        <w:gridCol w:w="109"/>
        <w:gridCol w:w="109"/>
        <w:gridCol w:w="109"/>
        <w:gridCol w:w="208"/>
        <w:gridCol w:w="208"/>
        <w:gridCol w:w="213"/>
        <w:gridCol w:w="670"/>
        <w:gridCol w:w="670"/>
        <w:gridCol w:w="672"/>
        <w:gridCol w:w="135"/>
        <w:gridCol w:w="135"/>
        <w:gridCol w:w="19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Jitendra Mohan</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Jitendra Mohan</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Astera Labs, Inc. (the “Company”) for the fiscal quarter ended June 30, 2026 as filed with the Securities and Exchange Commission on the date hereof (the “Report”), I, Desmond Lynch, Chief Financial Officer of the Company,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215"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208"/>
        <w:gridCol w:w="208"/>
        <w:gridCol w:w="213"/>
        <w:gridCol w:w="658"/>
        <w:gridCol w:w="658"/>
        <w:gridCol w:w="661"/>
        <w:gridCol w:w="128"/>
        <w:gridCol w:w="128"/>
        <w:gridCol w:w="181"/>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Desmond Lynch</w:t>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Desmond Lynch</w:t>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15622</Words>
  <Characters>86841</Characters>
  <CharactersWithSpaces>101074</CharactersWithSpaces>
  <Paragraphs>2465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