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6866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866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line="238"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866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Astera Labs,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866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2780" w:type="dxa"/>
            <w:vAlign w:val="bottom"/>
          </w:tcPr>
          <w:p>
            <w:pPr>
              <w:jc w:val="center"/>
              <w:ind w:right="10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001-41979</w:t>
            </w:r>
          </w:p>
        </w:tc>
        <w:tc>
          <w:tcPr>
            <w:tcW w:w="2240" w:type="dxa"/>
            <w:vAlign w:val="bottom"/>
          </w:tcPr>
          <w:p>
            <w:pPr>
              <w:jc w:val="center"/>
              <w:ind w:left="1042"/>
              <w:spacing w:after="0"/>
              <w:rPr>
                <w:sz w:val="20"/>
                <w:szCs w:val="20"/>
                <w:color w:val="auto"/>
              </w:rPr>
            </w:pPr>
            <w:r>
              <w:rPr>
                <w:rFonts w:ascii="Times New Roman" w:cs="Times New Roman" w:eastAsia="Times New Roman" w:hAnsi="Times New Roman"/>
                <w:sz w:val="18"/>
                <w:szCs w:val="18"/>
                <w:b w:val="1"/>
                <w:bCs w:val="1"/>
                <w:color w:val="auto"/>
              </w:rPr>
              <w:t>82-3437062</w:t>
            </w:r>
          </w:p>
        </w:tc>
      </w:tr>
      <w:tr>
        <w:trPr>
          <w:trHeight w:val="178"/>
        </w:trPr>
        <w:tc>
          <w:tcPr>
            <w:tcW w:w="2780" w:type="dxa"/>
            <w:vAlign w:val="bottom"/>
          </w:tcPr>
          <w:p>
            <w:pPr>
              <w:jc w:val="center"/>
              <w:ind w:right="10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0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2345 North First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 Jose, CA 95131</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766-3806</w:t>
      </w: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6866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185" w:lineRule="exact"/>
        <w:rPr>
          <w:sz w:val="24"/>
          <w:szCs w:val="24"/>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5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each class</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50"/>
        </w:trPr>
        <w:tc>
          <w:tcPr>
            <w:tcW w:w="56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r>
        <w:trPr>
          <w:trHeight w:val="232"/>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80" w:type="dxa"/>
            <w:vAlign w:val="bottom"/>
          </w:tcPr>
          <w:p>
            <w:pPr>
              <w:spacing w:after="0"/>
              <w:rPr>
                <w:sz w:val="20"/>
                <w:szCs w:val="20"/>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ALAB</w:t>
            </w:r>
          </w:p>
        </w:tc>
        <w:tc>
          <w:tcPr>
            <w:tcW w:w="28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5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6866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ind w:right="440" w:firstLine="8"/>
        <w:spacing w:after="0" w:line="237"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Astera Labs, Inc. (the “Company”) held its 2026 Annual Stockholders Meeting on June 4, 2026, (the “Annual Meeting”). There were 171,281,952 shares of common stock entitled to be voted at the Annual Meeting, of which 141,439,565 were voted in person or by proxy.</w:t>
      </w:r>
    </w:p>
    <w:p>
      <w:pPr>
        <w:spacing w:after="0" w:line="198" w:lineRule="exact"/>
        <w:rPr>
          <w:rFonts w:ascii="Times New Roman" w:cs="Times New Roman" w:eastAsia="Times New Roman" w:hAnsi="Times New Roman"/>
          <w:sz w:val="18"/>
          <w:szCs w:val="18"/>
          <w:color w:val="auto"/>
        </w:rPr>
      </w:pPr>
    </w:p>
    <w:p>
      <w:pPr>
        <w:ind w:right="20" w:firstLine="8"/>
        <w:spacing w:after="0" w:line="238"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stockholders elected all three Class II nominees for director to the Company's board of directors to serve until the 2029 Annual Meeting of Stockholders and until his or her successor has been duly elected and qualified, or until his or her earlier death, resignation or removal; ratified the appointment of PricewaterhouseCoopers LLP as the independent registered public accounting firm of the Company for the fiscal year ending December 31, (“Auditor Ratification”); approved, on an advisory basis, the compensation of our named executive officers (“NEOs”) as disclosed in our proxy materials (“Say-on-Pay”); and approved, on an advisory basis, the holding of future advisory votes on the compensation of our NEOs (“Say-on-Frequency”) every one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inspector of election certified the following vote tabulations: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No. 1</w:t>
            </w:r>
          </w:p>
        </w:tc>
        <w:tc>
          <w:tcPr>
            <w:tcW w:w="3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Election of Class II Director Nominees</w:t>
            </w: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Sanjay Gajendra</w:t>
            </w: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98,435,707</w:t>
            </w: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16,774,390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26,229,468</w:t>
            </w: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Barratt</w:t>
            </w: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96,549,639</w:t>
            </w: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18,660,458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26,229,468</w:t>
            </w: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Hurlston</w:t>
            </w: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78,685,214</w:t>
            </w: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36,524,883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26,229,468</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No. 2</w:t>
            </w:r>
          </w:p>
        </w:tc>
        <w:tc>
          <w:tcPr>
            <w:tcW w:w="2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4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6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line="20" w:lineRule="exact"/>
              <w:rPr>
                <w:sz w:val="1"/>
                <w:szCs w:val="1"/>
                <w:color w:val="auto"/>
              </w:rPr>
            </w:pPr>
          </w:p>
        </w:tc>
      </w:tr>
      <w:tr>
        <w:trPr>
          <w:trHeight w:val="259"/>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Auditor Ratification</w:t>
            </w:r>
          </w:p>
        </w:tc>
        <w:tc>
          <w:tcPr>
            <w:tcW w:w="2740" w:type="dxa"/>
            <w:vAlign w:val="bottom"/>
            <w:vMerge w:val="continue"/>
          </w:tcPr>
          <w:p>
            <w:pPr>
              <w:spacing w:after="0"/>
              <w:rPr>
                <w:sz w:val="22"/>
                <w:szCs w:val="22"/>
                <w:color w:val="auto"/>
              </w:rPr>
            </w:pPr>
          </w:p>
        </w:tc>
        <w:tc>
          <w:tcPr>
            <w:tcW w:w="2160" w:type="dxa"/>
            <w:vAlign w:val="bottom"/>
            <w:vMerge w:val="continue"/>
          </w:tcPr>
          <w:p>
            <w:pPr>
              <w:spacing w:after="0"/>
              <w:rPr>
                <w:sz w:val="22"/>
                <w:szCs w:val="22"/>
                <w:color w:val="auto"/>
              </w:rPr>
            </w:pPr>
          </w:p>
        </w:tc>
        <w:tc>
          <w:tcPr>
            <w:tcW w:w="1800" w:type="dxa"/>
            <w:vAlign w:val="bottom"/>
            <w:vMerge w:val="continue"/>
          </w:tcPr>
          <w:p>
            <w:pPr>
              <w:spacing w:after="0"/>
              <w:rPr>
                <w:sz w:val="22"/>
                <w:szCs w:val="22"/>
                <w:color w:val="auto"/>
              </w:rPr>
            </w:pPr>
          </w:p>
        </w:tc>
        <w:tc>
          <w:tcPr>
            <w:tcW w:w="1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640" w:type="dxa"/>
            <w:vAlign w:val="bottom"/>
            <w:gridSpan w:val="2"/>
            <w:vMerge w:val="continue"/>
          </w:tcPr>
          <w:p>
            <w:pPr>
              <w:spacing w:after="0"/>
              <w:rPr>
                <w:sz w:val="20"/>
                <w:szCs w:val="20"/>
                <w:color w:val="auto"/>
              </w:rPr>
            </w:pPr>
          </w:p>
        </w:tc>
        <w:tc>
          <w:tcPr>
            <w:tcW w:w="27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141,298,992</w:t>
            </w:r>
          </w:p>
        </w:tc>
        <w:tc>
          <w:tcPr>
            <w:tcW w:w="21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115,708</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24,865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*Brokers were permitted to cast stockholder non-votes (i.e., uninstructed shares) at their discretion on this proposal item, and such non-votes are reflected in the votes For, Against or to Abstain.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No. 3</w:t>
            </w:r>
          </w:p>
        </w:tc>
        <w:tc>
          <w:tcPr>
            <w:tcW w:w="1500" w:type="dxa"/>
            <w:vAlign w:val="bottom"/>
          </w:tcPr>
          <w:p>
            <w:pPr>
              <w:spacing w:after="0"/>
              <w:rPr>
                <w:sz w:val="18"/>
                <w:szCs w:val="18"/>
                <w:color w:val="auto"/>
              </w:rPr>
            </w:pPr>
          </w:p>
        </w:tc>
        <w:tc>
          <w:tcPr>
            <w:tcW w:w="188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For</w:t>
            </w:r>
          </w:p>
        </w:tc>
        <w:tc>
          <w:tcPr>
            <w:tcW w:w="17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45"/>
        </w:trPr>
        <w:tc>
          <w:tcPr>
            <w:tcW w:w="1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Say-on-Pay</w:t>
            </w:r>
          </w:p>
        </w:tc>
        <w:tc>
          <w:tcPr>
            <w:tcW w:w="900" w:type="dxa"/>
            <w:vAlign w:val="bottom"/>
            <w:vMerge w:val="restart"/>
          </w:tcPr>
          <w:p>
            <w:pPr>
              <w:spacing w:after="0"/>
              <w:rPr>
                <w:sz w:val="21"/>
                <w:szCs w:val="21"/>
                <w:color w:val="auto"/>
              </w:rPr>
            </w:pPr>
          </w:p>
        </w:tc>
        <w:tc>
          <w:tcPr>
            <w:tcW w:w="150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111,520,205</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3,615,962</w:t>
            </w:r>
          </w:p>
        </w:tc>
        <w:tc>
          <w:tcPr>
            <w:tcW w:w="2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73,930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26,229,468</w:t>
            </w:r>
          </w:p>
        </w:tc>
        <w:tc>
          <w:tcPr>
            <w:tcW w:w="0" w:type="dxa"/>
            <w:vAlign w:val="bottom"/>
          </w:tcPr>
          <w:p>
            <w:pPr>
              <w:spacing w:after="0"/>
              <w:rPr>
                <w:sz w:val="1"/>
                <w:szCs w:val="1"/>
                <w:color w:val="auto"/>
              </w:rPr>
            </w:pPr>
          </w:p>
        </w:tc>
      </w:tr>
      <w:tr>
        <w:trPr>
          <w:trHeight w:val="499"/>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No. 4</w:t>
            </w:r>
          </w:p>
        </w:tc>
        <w:tc>
          <w:tcPr>
            <w:tcW w:w="1500" w:type="dxa"/>
            <w:vAlign w:val="bottom"/>
          </w:tcPr>
          <w:p>
            <w:pPr>
              <w:spacing w:after="0"/>
              <w:rPr>
                <w:sz w:val="24"/>
                <w:szCs w:val="24"/>
                <w:color w:val="auto"/>
              </w:rPr>
            </w:pPr>
          </w:p>
        </w:tc>
        <w:tc>
          <w:tcPr>
            <w:tcW w:w="188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Every</w:t>
            </w: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20" w:type="dxa"/>
            <w:vAlign w:val="bottom"/>
            <w:tcBorders>
              <w:top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Say-on-Frequency</w:t>
            </w:r>
          </w:p>
        </w:tc>
        <w:tc>
          <w:tcPr>
            <w:tcW w:w="15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2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34"/>
        </w:trPr>
        <w:tc>
          <w:tcPr>
            <w:tcW w:w="2020" w:type="dxa"/>
            <w:vAlign w:val="bottom"/>
            <w:gridSpan w:val="2"/>
            <w:vMerge w:val="continue"/>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113,239,044</w:t>
            </w:r>
          </w:p>
        </w:tc>
        <w:tc>
          <w:tcPr>
            <w:tcW w:w="18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36,793</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1,872,912</w:t>
            </w:r>
          </w:p>
        </w:tc>
        <w:tc>
          <w:tcPr>
            <w:tcW w:w="2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61,348</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26,229,468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Based on the voting results at the Annual Meeting, and consistent with the recommendation of the board of directors as set forth in our proxy statement for the Annual Meeting, the board of directors has determined to provide for a stockholder advisory vote on executive compensation on an annual basis; provided that, in the future, the board of directors may determine whether a different frequency for such advisory votes is in the best interests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7"/>
          <w:szCs w:val="17"/>
          <w:color w:val="auto"/>
        </w:rPr>
        <w:t>Astera Labs, Inc.</w:t>
      </w:r>
    </w:p>
    <w:p>
      <w:pPr>
        <w:spacing w:after="0" w:line="27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Philip Mazzara</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Philip Mazzara</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General Counsel and Secretary</w:t>
      </w:r>
    </w:p>
    <w:sectPr>
      <w:pgSz w:w="11900" w:h="16838" w:orient="portrait"/>
      <w:cols w:equalWidth="0" w:num="1">
        <w:col w:w="10920"/>
      </w:cols>
      <w:pgMar w:left="320" w:top="141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2026-06-08T16:08:42Z</dcterms:created>
  <dcterms:modified xsi:type="dcterms:W3CDTF">2026-06-08T16:08:42Z</dcterms:modified>
</cp:coreProperties>
</file>