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40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HURLSTON MICHAEL E.</w:t>
              </w:r>
            </w:hyperlink>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Astera Labs,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ALAB</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400" w:type="dxa"/>
            <w:vAlign w:val="bottom"/>
            <w:gridSpan w:val="2"/>
            <w:vMerge w:val="continue"/>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40" w:type="dxa"/>
            <w:vAlign w:val="bottom"/>
            <w:tcBorders>
              <w:bottom w:val="single" w:sz="8" w:color="0000EE"/>
            </w:tcBorders>
          </w:tcPr>
          <w:p>
            <w:pPr>
              <w:spacing w:after="0"/>
              <w:rPr>
                <w:sz w:val="6"/>
                <w:szCs w:val="6"/>
                <w:color w:val="auto"/>
              </w:rPr>
            </w:pPr>
          </w:p>
        </w:tc>
        <w:tc>
          <w:tcPr>
            <w:tcW w:w="23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5"/>
                <w:szCs w:val="5"/>
                <w:color w:val="auto"/>
              </w:rPr>
            </w:pPr>
          </w:p>
        </w:tc>
        <w:tc>
          <w:tcPr>
            <w:tcW w:w="2400" w:type="dxa"/>
            <w:vAlign w:val="bottom"/>
            <w:tcBorders>
              <w:bottom w:val="single" w:sz="8" w:color="0000EE"/>
            </w:tcBorders>
            <w:gridSpan w:val="2"/>
            <w:vMerge w:val="continue"/>
          </w:tcPr>
          <w:p>
            <w:pPr>
              <w:spacing w:after="0"/>
              <w:rPr>
                <w:sz w:val="5"/>
                <w:szCs w:val="5"/>
                <w:color w:val="auto"/>
              </w:rPr>
            </w:pPr>
          </w:p>
        </w:tc>
        <w:tc>
          <w:tcPr>
            <w:tcW w:w="1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23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6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3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620" w:type="dxa"/>
            <w:vAlign w:val="bottom"/>
            <w:tcBorders>
              <w:top w:val="single" w:sz="8" w:color="EEEEEE"/>
            </w:tcBorders>
          </w:tcPr>
          <w:p>
            <w:pPr>
              <w:spacing w:after="0"/>
              <w:rPr>
                <w:sz w:val="2"/>
                <w:szCs w:val="2"/>
                <w:color w:val="auto"/>
              </w:rPr>
            </w:pPr>
          </w:p>
        </w:tc>
        <w:tc>
          <w:tcPr>
            <w:tcW w:w="12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2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1240" w:type="dxa"/>
            <w:vAlign w:val="bottom"/>
            <w:vMerge w:val="restart"/>
          </w:tcPr>
          <w:p>
            <w:pPr>
              <w:ind w:left="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620" w:type="dxa"/>
            <w:vAlign w:val="bottom"/>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16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06/04/2026</w:t>
            </w:r>
          </w:p>
        </w:tc>
        <w:tc>
          <w:tcPr>
            <w:tcW w:w="23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4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ASTERA LABS, INC.</w:t>
            </w:r>
          </w:p>
        </w:tc>
        <w:tc>
          <w:tcPr>
            <w:tcW w:w="1240" w:type="dxa"/>
            <w:vAlign w:val="bottom"/>
          </w:tcPr>
          <w:p>
            <w:pPr>
              <w:spacing w:after="0"/>
              <w:rPr>
                <w:sz w:val="11"/>
                <w:szCs w:val="11"/>
                <w:color w:val="auto"/>
              </w:rPr>
            </w:pPr>
          </w:p>
        </w:tc>
        <w:tc>
          <w:tcPr>
            <w:tcW w:w="1600" w:type="dxa"/>
            <w:vAlign w:val="bottom"/>
            <w:gridSpan w:val="3"/>
            <w:vMerge w:val="continue"/>
          </w:tcPr>
          <w:p>
            <w:pPr>
              <w:spacing w:after="0"/>
              <w:rPr>
                <w:sz w:val="11"/>
                <w:szCs w:val="11"/>
                <w:color w:val="auto"/>
              </w:rPr>
            </w:pPr>
          </w:p>
        </w:tc>
        <w:tc>
          <w:tcPr>
            <w:tcW w:w="23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400" w:type="dxa"/>
            <w:vAlign w:val="bottom"/>
            <w:gridSpan w:val="2"/>
            <w:vMerge w:val="continue"/>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4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2345 NORTH FIRST STREET</w:t>
            </w: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23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400" w:type="dxa"/>
            <w:vAlign w:val="bottom"/>
            <w:gridSpan w:val="2"/>
            <w:vMerge w:val="continue"/>
          </w:tcPr>
          <w:p>
            <w:pPr>
              <w:spacing w:after="0"/>
              <w:rPr>
                <w:sz w:val="9"/>
                <w:szCs w:val="9"/>
                <w:color w:val="auto"/>
              </w:rPr>
            </w:pPr>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95131</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06/04/2026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240"/>
              <w:spacing w:after="0" w:line="320" w:lineRule="exact"/>
              <w:rPr>
                <w:sz w:val="20"/>
                <w:szCs w:val="20"/>
                <w:color w:val="auto"/>
              </w:rPr>
            </w:pPr>
            <w:r>
              <w:rPr>
                <w:rFonts w:ascii="Times New Roman" w:cs="Times New Roman" w:eastAsia="Times New Roman" w:hAnsi="Times New Roman"/>
                <w:sz w:val="34"/>
                <w:szCs w:val="34"/>
                <w:color w:val="0000FF"/>
                <w:w w:val="93"/>
                <w:vertAlign w:val="subscript"/>
              </w:rPr>
              <w:t>837</w:t>
            </w:r>
            <w:r>
              <w:rPr>
                <w:rFonts w:ascii="Times New Roman" w:cs="Times New Roman" w:eastAsia="Times New Roman" w:hAnsi="Times New Roman"/>
                <w:sz w:val="11"/>
                <w:szCs w:val="11"/>
                <w:color w:val="008000"/>
                <w:w w:val="93"/>
              </w:rPr>
              <w:t>(1)</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92,482</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represent an award of restricted stock units ("RSUs") granted on June 4, 2026 (the "Grant Date") under the Astera Labs, Inc. 2024 Stock Option and Incentive Plan. Such award vests in full upon the earlier of (i) the first anniversary of the Grant Date or (ii) the date of the next annual stockholder meeting of the Company following the Grant Date, subject to the Reporting Person's continuous service relationship with the Issuer through each applicable vesting date. Each RSU represents a contingent right to receive one share of the Issuer's Common Stock.</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deferred stock units and dividend equivalent units.</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Philip Mazzara, Attorney-</w:t>
            </w: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06/08/2026</w:t>
            </w:r>
          </w:p>
        </w:tc>
        <w:tc>
          <w:tcPr>
            <w:tcW w:w="0" w:type="dxa"/>
            <w:vAlign w:val="bottom"/>
          </w:tcPr>
          <w:p>
            <w:pPr>
              <w:spacing w:after="0"/>
              <w:rPr>
                <w:sz w:val="1"/>
                <w:szCs w:val="1"/>
                <w:color w:val="auto"/>
              </w:rPr>
            </w:pPr>
          </w:p>
        </w:tc>
      </w:tr>
      <w:tr>
        <w:trPr>
          <w:trHeight w:val="87"/>
        </w:trPr>
        <w:tc>
          <w:tcPr>
            <w:tcW w:w="202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100" w:type="dxa"/>
            <w:vAlign w:val="bottom"/>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2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73338" TargetMode="External"/><Relationship Id="rId14" Type="http://schemas.openxmlformats.org/officeDocument/2006/relationships/hyperlink" Target="http://www.sec.gov/cgi-bin/browse-edgar?action=getcompany&amp;CIK=00017362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2026-06-08T19:24:22Z</dcterms:created>
  <dcterms:modified xsi:type="dcterms:W3CDTF">2026-06-08T19:24:22Z</dcterms:modified>
</cp:coreProperties>
</file>