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Mayer Bethany</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Astera Labs,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ASTERA LABS, INC.</w:t>
            </w:r>
          </w:p>
        </w:tc>
        <w:tc>
          <w:tcPr>
            <w:tcW w:w="13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2345 NORTH FIRST STREET</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837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77"/>
              <w:spacing w:after="0"/>
              <w:rPr>
                <w:sz w:val="20"/>
                <w:szCs w:val="20"/>
                <w:color w:val="auto"/>
              </w:rPr>
            </w:pPr>
            <w:r>
              <w:rPr>
                <w:rFonts w:ascii="Times New Roman" w:cs="Times New Roman" w:eastAsia="Times New Roman" w:hAnsi="Times New Roman"/>
                <w:sz w:val="17"/>
                <w:szCs w:val="17"/>
                <w:color w:val="0000FF"/>
              </w:rPr>
              <w:t>6,236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839</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an award of restricted stock units ("RSUs") granted on June 4, 2026 (the "Grant Date") under the Astera Labs, Inc. 2024 Stock Option and Incentive Plan. Such award vests in full upon the earlier of (i) the first anniversary of the Grant Date or (ii) the date of the next annual stockholder meeting of the Company following the Grant Date, subject to the Reporting Person's continuous service relationship with the Issuer through each applicable vesting date. Each RSU represents a contingent right to receive one share of the Issuer's Common Stock.</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Jantzen/Mayer Family 2002 Trust, of which the Reporting Person is a trustee. The Reporting Person disclaims beneficial ownership of these securities, except to the extent, if any, of her pecuniary interest therein, and the filing of this Form 4 is not an admission that the Reporting Person is the beneficial owner of these securities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Philip Mazzara,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693" TargetMode="External"/><Relationship Id="rId14" Type="http://schemas.openxmlformats.org/officeDocument/2006/relationships/hyperlink" Target="http://www.sec.gov/cgi-bin/browse-edgar?action=getcompany&amp;CIK=0001736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2026-06-08T19:20:36Z</dcterms:created>
  <dcterms:modified xsi:type="dcterms:W3CDTF">2026-06-08T19:20:36Z</dcterms:modified>
</cp:coreProperties>
</file>