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LAZAR JACK R</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Astera Labs,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ASTERA LABS, INC.</w:t>
            </w:r>
          </w:p>
        </w:tc>
        <w:tc>
          <w:tcPr>
            <w:tcW w:w="13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2345 NORTH FIRST STREET</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17"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1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jc w:val="center"/>
              <w:ind w:left="41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837</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85,688</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879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362.8405</w:t>
            </w:r>
            <w:r>
              <w:rPr>
                <w:rFonts w:ascii="Times New Roman" w:cs="Times New Roman" w:eastAsia="Times New Roman" w:hAnsi="Times New Roman"/>
                <w:sz w:val="22"/>
                <w:szCs w:val="22"/>
                <w:color w:val="008000"/>
                <w:w w:val="97"/>
                <w:vertAlign w:val="superscript"/>
              </w:rPr>
              <w:t>(4)</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84,809</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361.1061</w:t>
            </w:r>
            <w:r>
              <w:rPr>
                <w:rFonts w:ascii="Times New Roman" w:cs="Times New Roman" w:eastAsia="Times New Roman" w:hAnsi="Times New Roman"/>
                <w:sz w:val="22"/>
                <w:szCs w:val="22"/>
                <w:color w:val="008000"/>
                <w:w w:val="97"/>
                <w:vertAlign w:val="superscript"/>
              </w:rPr>
              <w:t>(5)</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83,955</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360.0879</w:t>
            </w:r>
            <w:r>
              <w:rPr>
                <w:rFonts w:ascii="Times New Roman" w:cs="Times New Roman" w:eastAsia="Times New Roman" w:hAnsi="Times New Roman"/>
                <w:sz w:val="22"/>
                <w:szCs w:val="22"/>
                <w:color w:val="008000"/>
                <w:w w:val="97"/>
                <w:vertAlign w:val="superscript"/>
              </w:rPr>
              <w:t>(6)</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82,839</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877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359.3267</w:t>
            </w:r>
            <w:r>
              <w:rPr>
                <w:rFonts w:ascii="Times New Roman" w:cs="Times New Roman" w:eastAsia="Times New Roman" w:hAnsi="Times New Roman"/>
                <w:sz w:val="22"/>
                <w:szCs w:val="22"/>
                <w:color w:val="008000"/>
                <w:w w:val="97"/>
                <w:vertAlign w:val="superscript"/>
              </w:rPr>
              <w:t>(7)</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81,962</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358.136</w:t>
            </w:r>
            <w:r>
              <w:rPr>
                <w:rFonts w:ascii="Times New Roman" w:cs="Times New Roman" w:eastAsia="Times New Roman" w:hAnsi="Times New Roman"/>
                <w:sz w:val="22"/>
                <w:szCs w:val="22"/>
                <w:color w:val="008000"/>
                <w:w w:val="97"/>
                <w:vertAlign w:val="superscript"/>
              </w:rPr>
              <w:t>(8)</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81,079</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356.9442</w:t>
            </w:r>
            <w:r>
              <w:rPr>
                <w:rFonts w:ascii="Times New Roman" w:cs="Times New Roman" w:eastAsia="Times New Roman" w:hAnsi="Times New Roman"/>
                <w:sz w:val="22"/>
                <w:szCs w:val="22"/>
                <w:color w:val="008000"/>
                <w:w w:val="97"/>
                <w:vertAlign w:val="superscript"/>
              </w:rPr>
              <w:t>(9)</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80,513</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355.1273</w:t>
            </w:r>
            <w:r>
              <w:rPr>
                <w:rFonts w:ascii="Times New Roman" w:cs="Times New Roman" w:eastAsia="Times New Roman" w:hAnsi="Times New Roman"/>
                <w:sz w:val="22"/>
                <w:szCs w:val="22"/>
                <w:color w:val="008000"/>
                <w:w w:val="94"/>
                <w:vertAlign w:val="superscript"/>
              </w:rPr>
              <w:t>(10)</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79,567</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354.3839</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79,194</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352.9665</w:t>
            </w:r>
            <w:r>
              <w:rPr>
                <w:rFonts w:ascii="Times New Roman" w:cs="Times New Roman" w:eastAsia="Times New Roman" w:hAnsi="Times New Roman"/>
                <w:sz w:val="22"/>
                <w:szCs w:val="22"/>
                <w:color w:val="008000"/>
                <w:w w:val="94"/>
                <w:vertAlign w:val="superscript"/>
              </w:rPr>
              <w:t>(12)</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78,093</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351.7187</w:t>
            </w:r>
            <w:r>
              <w:rPr>
                <w:rFonts w:ascii="Times New Roman" w:cs="Times New Roman" w:eastAsia="Times New Roman" w:hAnsi="Times New Roman"/>
                <w:sz w:val="22"/>
                <w:szCs w:val="22"/>
                <w:color w:val="008000"/>
                <w:w w:val="94"/>
                <w:vertAlign w:val="superscript"/>
              </w:rPr>
              <w:t>(13)</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77,775</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351.13</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77,758</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349.9557</w:t>
            </w:r>
            <w:r>
              <w:rPr>
                <w:rFonts w:ascii="Times New Roman" w:cs="Times New Roman" w:eastAsia="Times New Roman" w:hAnsi="Times New Roman"/>
                <w:sz w:val="22"/>
                <w:szCs w:val="22"/>
                <w:color w:val="008000"/>
                <w:w w:val="94"/>
                <w:vertAlign w:val="superscript"/>
              </w:rPr>
              <w:t>(14)</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77,335</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347.8389</w:t>
            </w:r>
            <w:r>
              <w:rPr>
                <w:rFonts w:ascii="Times New Roman" w:cs="Times New Roman" w:eastAsia="Times New Roman" w:hAnsi="Times New Roman"/>
                <w:sz w:val="22"/>
                <w:szCs w:val="22"/>
                <w:color w:val="008000"/>
                <w:w w:val="94"/>
                <w:vertAlign w:val="superscript"/>
              </w:rPr>
              <w:t>(15)</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77,142</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346.2717</w:t>
            </w:r>
            <w:r>
              <w:rPr>
                <w:rFonts w:ascii="Times New Roman" w:cs="Times New Roman" w:eastAsia="Times New Roman" w:hAnsi="Times New Roman"/>
                <w:sz w:val="22"/>
                <w:szCs w:val="22"/>
                <w:color w:val="008000"/>
                <w:w w:val="94"/>
                <w:vertAlign w:val="superscript"/>
              </w:rPr>
              <w:t>(16)</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76,904</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345.2366</w:t>
            </w:r>
            <w:r>
              <w:rPr>
                <w:rFonts w:ascii="Times New Roman" w:cs="Times New Roman" w:eastAsia="Times New Roman" w:hAnsi="Times New Roman"/>
                <w:sz w:val="22"/>
                <w:szCs w:val="22"/>
                <w:color w:val="008000"/>
                <w:w w:val="94"/>
                <w:vertAlign w:val="superscript"/>
              </w:rPr>
              <w:t>(17)</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76,658</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344.0294</w:t>
            </w:r>
            <w:r>
              <w:rPr>
                <w:rFonts w:ascii="Times New Roman" w:cs="Times New Roman" w:eastAsia="Times New Roman" w:hAnsi="Times New Roman"/>
                <w:sz w:val="22"/>
                <w:szCs w:val="22"/>
                <w:color w:val="008000"/>
                <w:w w:val="94"/>
                <w:vertAlign w:val="superscript"/>
              </w:rPr>
              <w:t>(18)</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3"/>
              </w:rPr>
              <w:t>76,415</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342.5453</w:t>
            </w:r>
            <w:r>
              <w:rPr>
                <w:rFonts w:ascii="Times New Roman" w:cs="Times New Roman" w:eastAsia="Times New Roman" w:hAnsi="Times New Roman"/>
                <w:sz w:val="22"/>
                <w:szCs w:val="22"/>
                <w:color w:val="008000"/>
                <w:w w:val="94"/>
                <w:vertAlign w:val="superscript"/>
              </w:rPr>
              <w:t>(19)</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75,888</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339.56</w:t>
            </w:r>
            <w:r>
              <w:rPr>
                <w:rFonts w:ascii="Times New Roman" w:cs="Times New Roman" w:eastAsia="Times New Roman" w:hAnsi="Times New Roman"/>
                <w:sz w:val="22"/>
                <w:szCs w:val="22"/>
                <w:color w:val="008000"/>
                <w:w w:val="94"/>
                <w:vertAlign w:val="superscript"/>
              </w:rPr>
              <w:t>(19)</w:t>
            </w:r>
          </w:p>
        </w:tc>
        <w:tc>
          <w:tcPr>
            <w:tcW w:w="10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75,688</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20" w:type="dxa"/>
            <w:vAlign w:val="bottom"/>
            <w:tcBorders>
              <w:top w:val="single" w:sz="8" w:color="808080"/>
            </w:tcBorders>
            <w:shd w:val="clear" w:color="auto" w:fill="2C2C2C"/>
          </w:tcPr>
          <w:p>
            <w:pPr>
              <w:spacing w:after="0" w:line="20" w:lineRule="exact"/>
              <w:rPr>
                <w:sz w:val="1"/>
                <w:szCs w:val="1"/>
                <w:color w:val="auto"/>
              </w:rPr>
            </w:pPr>
          </w:p>
        </w:tc>
        <w:tc>
          <w:tcPr>
            <w:tcW w:w="16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11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49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494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10920" w:type="dxa"/>
            <w:vAlign w:val="bottom"/>
            <w:gridSpan w:val="12"/>
          </w:tcPr>
          <w:p>
            <w:pPr>
              <w:ind w:left="20"/>
              <w:spacing w:after="0" w:line="67" w:lineRule="exact"/>
              <w:rPr>
                <w:sz w:val="20"/>
                <w:szCs w:val="20"/>
                <w:color w:val="auto"/>
              </w:rPr>
            </w:pPr>
            <w:r>
              <w:rPr>
                <w:rFonts w:ascii="Times New Roman" w:cs="Times New Roman" w:eastAsia="Times New Roman" w:hAnsi="Times New Roman"/>
                <w:sz w:val="7"/>
                <w:szCs w:val="7"/>
                <w:color w:val="008000"/>
              </w:rPr>
              <w:t>These shares represent an award of restricted stock units ("RSUs") granted on June 4, 2026 (the "Grant Date") under the Astera Labs, Inc. 2024 Stock Option and Incentive Plan. Such award vests in</w:t>
            </w:r>
          </w:p>
        </w:tc>
        <w:tc>
          <w:tcPr>
            <w:tcW w:w="0" w:type="dxa"/>
            <w:vAlign w:val="bottom"/>
          </w:tcPr>
          <w:p>
            <w:pPr>
              <w:spacing w:after="0"/>
              <w:rPr>
                <w:sz w:val="1"/>
                <w:szCs w:val="1"/>
                <w:color w:val="auto"/>
              </w:rPr>
            </w:pPr>
          </w:p>
        </w:tc>
      </w:tr>
      <w:tr>
        <w:trPr>
          <w:trHeight w:val="67"/>
        </w:trPr>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0"/>
        </w:trPr>
        <w:tc>
          <w:tcPr>
            <w:tcW w:w="11080" w:type="dxa"/>
            <w:vAlign w:val="bottom"/>
            <w:gridSpan w:val="13"/>
          </w:tcPr>
          <w:p>
            <w:pPr>
              <w:ind w:left="40"/>
              <w:spacing w:after="0" w:line="80" w:lineRule="exact"/>
              <w:rPr>
                <w:sz w:val="20"/>
                <w:szCs w:val="20"/>
                <w:color w:val="auto"/>
              </w:rPr>
            </w:pPr>
            <w:r>
              <w:rPr>
                <w:rFonts w:ascii="Times New Roman" w:cs="Times New Roman" w:eastAsia="Times New Roman" w:hAnsi="Times New Roman"/>
                <w:sz w:val="9"/>
                <w:szCs w:val="9"/>
                <w:color w:val="008000"/>
              </w:rPr>
              <w:t>full upon the earlier of (i) the first anniversary of the Grant Date or (ii) the date of the next annual stockholder meeting of the Company following the Grant Date, subject to the Reporting Person's</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9540" w:type="dxa"/>
            <w:vAlign w:val="bottom"/>
            <w:gridSpan w:val="11"/>
          </w:tcPr>
          <w:p>
            <w:pPr>
              <w:ind w:left="40"/>
              <w:spacing w:after="0" w:line="93" w:lineRule="exact"/>
              <w:rPr>
                <w:sz w:val="20"/>
                <w:szCs w:val="20"/>
                <w:color w:val="auto"/>
              </w:rPr>
            </w:pPr>
            <w:r>
              <w:rPr>
                <w:rFonts w:ascii="Times New Roman" w:cs="Times New Roman" w:eastAsia="Times New Roman" w:hAnsi="Times New Roman"/>
                <w:sz w:val="10"/>
                <w:szCs w:val="10"/>
                <w:color w:val="008000"/>
              </w:rPr>
              <w:t>continuous service relationship with the Issuer through each applicable vesting date. Each RSU represents a contingent right to receive one share of the Issuer's Common Stock.</w:t>
            </w: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3" w:lineRule="exact"/>
              <w:rPr>
                <w:sz w:val="20"/>
                <w:szCs w:val="20"/>
                <w:color w:val="auto"/>
              </w:rPr>
            </w:pPr>
            <w:r>
              <w:rPr>
                <w:rFonts w:ascii="Arial" w:cs="Arial" w:eastAsia="Arial" w:hAnsi="Arial"/>
                <w:sz w:val="6"/>
                <w:szCs w:val="6"/>
                <w:b w:val="1"/>
                <w:bCs w:val="1"/>
                <w:color w:val="auto"/>
              </w:rPr>
              <w:t>Disposed</w:t>
            </w:r>
          </w:p>
        </w:tc>
        <w:tc>
          <w:tcPr>
            <w:tcW w:w="1500" w:type="dxa"/>
            <w:vAlign w:val="bottom"/>
          </w:tcPr>
          <w:p>
            <w:pPr>
              <w:spacing w:after="0"/>
              <w:rPr>
                <w:sz w:val="4"/>
                <w:szCs w:val="4"/>
                <w:color w:val="auto"/>
              </w:rPr>
            </w:pPr>
          </w:p>
        </w:tc>
        <w:tc>
          <w:tcPr>
            <w:tcW w:w="1020" w:type="dxa"/>
            <w:vAlign w:val="bottom"/>
          </w:tcPr>
          <w:p>
            <w:pPr>
              <w:ind w:left="100"/>
              <w:spacing w:after="0" w:line="53" w:lineRule="exact"/>
              <w:rPr>
                <w:sz w:val="20"/>
                <w:szCs w:val="20"/>
                <w:color w:val="auto"/>
              </w:rPr>
            </w:pPr>
            <w:r>
              <w:rPr>
                <w:rFonts w:ascii="Arial" w:cs="Arial" w:eastAsia="Arial" w:hAnsi="Arial"/>
                <w:sz w:val="6"/>
                <w:szCs w:val="6"/>
                <w:b w:val="1"/>
                <w:bCs w:val="1"/>
                <w:color w:val="auto"/>
              </w:rPr>
              <w:t>3 and 4)</w:t>
            </w:r>
          </w:p>
        </w:tc>
        <w:tc>
          <w:tcPr>
            <w:tcW w:w="720" w:type="dxa"/>
            <w:vAlign w:val="bottom"/>
          </w:tcPr>
          <w:p>
            <w:pPr>
              <w:spacing w:after="0"/>
              <w:rPr>
                <w:sz w:val="4"/>
                <w:szCs w:val="4"/>
                <w:color w:val="auto"/>
              </w:rPr>
            </w:pPr>
          </w:p>
        </w:tc>
        <w:tc>
          <w:tcPr>
            <w:tcW w:w="960" w:type="dxa"/>
            <w:vAlign w:val="bottom"/>
          </w:tcPr>
          <w:p>
            <w:pPr>
              <w:ind w:left="80"/>
              <w:spacing w:after="0" w:line="53" w:lineRule="exact"/>
              <w:rPr>
                <w:sz w:val="20"/>
                <w:szCs w:val="20"/>
                <w:color w:val="auto"/>
              </w:rPr>
            </w:pPr>
            <w:r>
              <w:rPr>
                <w:rFonts w:ascii="Arial" w:cs="Arial" w:eastAsia="Arial" w:hAnsi="Arial"/>
                <w:sz w:val="6"/>
                <w:szCs w:val="6"/>
                <w:b w:val="1"/>
                <w:bCs w:val="1"/>
                <w:color w:val="auto"/>
              </w:rPr>
              <w:t>Reported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color w:val="008000"/>
              </w:rPr>
              <w:t>2.</w:t>
            </w:r>
          </w:p>
        </w:tc>
        <w:tc>
          <w:tcPr>
            <w:tcW w:w="3620" w:type="dxa"/>
            <w:vAlign w:val="bottom"/>
            <w:gridSpan w:val="4"/>
          </w:tcPr>
          <w:p>
            <w:pPr>
              <w:ind w:left="20"/>
              <w:spacing w:after="0" w:line="147" w:lineRule="exact"/>
              <w:rPr>
                <w:sz w:val="20"/>
                <w:szCs w:val="20"/>
                <w:color w:val="auto"/>
              </w:rPr>
            </w:pPr>
            <w:r>
              <w:rPr>
                <w:rFonts w:ascii="Times New Roman" w:cs="Times New Roman" w:eastAsia="Times New Roman" w:hAnsi="Times New Roman"/>
                <w:sz w:val="13"/>
                <w:szCs w:val="13"/>
                <w:color w:val="008000"/>
              </w:rPr>
              <w:t>Includes deferred stock units and dividend equivalent units.</w:t>
            </w: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0" w:type="dxa"/>
            <w:vAlign w:val="bottom"/>
            <w:vMerge w:val="continue"/>
          </w:tcPr>
          <w:p>
            <w:pPr>
              <w:spacing w:after="0"/>
              <w:rPr>
                <w:sz w:val="8"/>
                <w:szCs w:val="8"/>
                <w:color w:val="auto"/>
              </w:rPr>
            </w:pPr>
          </w:p>
        </w:tc>
        <w:tc>
          <w:tcPr>
            <w:tcW w:w="8420" w:type="dxa"/>
            <w:vAlign w:val="bottom"/>
            <w:gridSpan w:val="9"/>
          </w:tcPr>
          <w:p>
            <w:pPr>
              <w:ind w:left="20"/>
              <w:spacing w:after="0" w:line="93" w:lineRule="exact"/>
              <w:rPr>
                <w:sz w:val="20"/>
                <w:szCs w:val="20"/>
                <w:color w:val="auto"/>
              </w:rPr>
            </w:pPr>
            <w:r>
              <w:rPr>
                <w:rFonts w:ascii="Times New Roman" w:cs="Times New Roman" w:eastAsia="Times New Roman" w:hAnsi="Times New Roman"/>
                <w:sz w:val="10"/>
                <w:szCs w:val="10"/>
                <w:color w:val="008000"/>
              </w:rPr>
              <w:t>The sales reported in this Form 4 occurred automatically pursuant to a Rule 10b5-1 trading plan adopted by the Reporting Person on December 2, 2025.</w:t>
            </w: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and 5)</w:t>
            </w:r>
          </w:p>
        </w:tc>
        <w:tc>
          <w:tcPr>
            <w:tcW w:w="1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0" w:right="180"/>
        <w:spacing w:after="0" w:line="242" w:lineRule="auto"/>
        <w:rPr>
          <w:sz w:val="20"/>
          <w:szCs w:val="20"/>
          <w:color w:val="auto"/>
        </w:rPr>
      </w:pPr>
      <w:r>
        <w:rPr>
          <w:rFonts w:ascii="Times New Roman" w:cs="Times New Roman" w:eastAsia="Times New Roman" w:hAnsi="Times New Roman"/>
          <w:sz w:val="13"/>
          <w:szCs w:val="13"/>
          <w:color w:val="008000"/>
        </w:rPr>
        <w:t>4. The price reported in Column 4 is a weighted average price. The shares were sold in multiple transactions at prices ranging from $362.5300 to $363.4350,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5. The price reported in Column 4 is a weighted average price. The shares were sold in multiple transactions at prices ranging from $360.8100 to $361.6600, inclusive. The Reporting Person undertakes to</w:t>
      </w:r>
    </w:p>
    <w:tbl>
      <w:tblPr>
        <w:tblLayout w:type="fixed"/>
        <w:tblInd w:w="40" w:type="dxa"/>
        <w:tblCellMar>
          <w:top w:w="0" w:type="dxa"/>
          <w:left w:w="0" w:type="dxa"/>
          <w:bottom w:w="0" w:type="dxa"/>
          <w:right w:w="0" w:type="dxa"/>
        </w:tblCellMar>
      </w:tblPr>
      <w:tr>
        <w:trPr>
          <w:trHeight w:val="130"/>
        </w:trPr>
        <w:tc>
          <w:tcPr>
            <w:tcW w:w="10860" w:type="dxa"/>
            <w:vAlign w:val="bottom"/>
            <w:gridSpan w:val="5"/>
          </w:tcPr>
          <w:p>
            <w:pPr>
              <w:spacing w:after="0" w:line="130" w:lineRule="exact"/>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U.S. Securities and Exchange Commission, upon request, full information regarding the number of shares sold at each separate</w:t>
            </w:r>
          </w:p>
        </w:tc>
        <w:tc>
          <w:tcPr>
            <w:tcW w:w="0" w:type="dxa"/>
            <w:vAlign w:val="bottom"/>
          </w:tcPr>
          <w:p>
            <w:pPr>
              <w:spacing w:after="0"/>
              <w:rPr>
                <w:sz w:val="1"/>
                <w:szCs w:val="1"/>
                <w:color w:val="auto"/>
              </w:rPr>
            </w:pPr>
          </w:p>
        </w:tc>
      </w:tr>
      <w:tr>
        <w:trPr>
          <w:trHeight w:val="39"/>
        </w:trPr>
        <w:tc>
          <w:tcPr>
            <w:tcW w:w="316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price within the range set forth in this footnote.</w:t>
            </w:r>
          </w:p>
        </w:tc>
        <w:tc>
          <w:tcPr>
            <w:tcW w:w="1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2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Amount</w:t>
            </w:r>
          </w:p>
        </w:tc>
        <w:tc>
          <w:tcPr>
            <w:tcW w:w="0" w:type="dxa"/>
            <w:vAlign w:val="bottom"/>
          </w:tcPr>
          <w:p>
            <w:pPr>
              <w:spacing w:after="0" w:line="20" w:lineRule="exact"/>
              <w:rPr>
                <w:sz w:val="1"/>
                <w:szCs w:val="1"/>
                <w:color w:val="auto"/>
              </w:rPr>
            </w:pPr>
          </w:p>
        </w:tc>
      </w:tr>
      <w:tr>
        <w:trPr>
          <w:trHeight w:val="133"/>
        </w:trPr>
        <w:tc>
          <w:tcPr>
            <w:tcW w:w="316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20" w:type="dxa"/>
            <w:vAlign w:val="bottom"/>
          </w:tcPr>
          <w:p>
            <w:pPr>
              <w:ind w:left="460"/>
              <w:spacing w:after="0" w:line="121"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53"/>
        </w:trPr>
        <w:tc>
          <w:tcPr>
            <w:tcW w:w="10860" w:type="dxa"/>
            <w:vAlign w:val="bottom"/>
            <w:gridSpan w:val="5"/>
          </w:tcPr>
          <w:p>
            <w:pPr>
              <w:spacing w:after="0" w:line="54" w:lineRule="exact"/>
              <w:rPr>
                <w:sz w:val="20"/>
                <w:szCs w:val="20"/>
                <w:color w:val="auto"/>
              </w:rPr>
            </w:pPr>
            <w:r>
              <w:rPr>
                <w:rFonts w:ascii="Times New Roman" w:cs="Times New Roman" w:eastAsia="Times New Roman" w:hAnsi="Times New Roman"/>
                <w:sz w:val="6"/>
                <w:szCs w:val="6"/>
                <w:color w:val="008000"/>
              </w:rPr>
              <w:t>6. The price reported in Column 4 is a weighted average price. The shares were sold in multiple transactions at prices ranging from $359.7450 to $360.6600, inclusive. The Reporting Person undertakes to</w:t>
            </w:r>
          </w:p>
        </w:tc>
        <w:tc>
          <w:tcPr>
            <w:tcW w:w="0" w:type="dxa"/>
            <w:vAlign w:val="bottom"/>
          </w:tcPr>
          <w:p>
            <w:pPr>
              <w:spacing w:after="0"/>
              <w:rPr>
                <w:sz w:val="1"/>
                <w:szCs w:val="1"/>
                <w:color w:val="auto"/>
              </w:rPr>
            </w:pPr>
          </w:p>
        </w:tc>
      </w:tr>
      <w:tr>
        <w:trPr>
          <w:trHeight w:val="80"/>
        </w:trPr>
        <w:tc>
          <w:tcPr>
            <w:tcW w:w="3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620" w:type="dxa"/>
            <w:vAlign w:val="bottom"/>
          </w:tcPr>
          <w:p>
            <w:pPr>
              <w:ind w:left="880"/>
              <w:spacing w:after="0" w:line="80" w:lineRule="exact"/>
              <w:rPr>
                <w:sz w:val="20"/>
                <w:szCs w:val="20"/>
                <w:color w:val="auto"/>
              </w:rPr>
            </w:pPr>
            <w:r>
              <w:rPr>
                <w:rFonts w:ascii="Arial" w:cs="Arial" w:eastAsia="Arial" w:hAnsi="Arial"/>
                <w:sz w:val="8"/>
                <w:szCs w:val="8"/>
                <w:b w:val="1"/>
                <w:bCs w:val="1"/>
                <w:color w:val="auto"/>
              </w:rPr>
              <w:t>Date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Expiration</w:t>
            </w:r>
          </w:p>
        </w:tc>
        <w:tc>
          <w:tcPr>
            <w:tcW w:w="402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of</w:t>
            </w:r>
          </w:p>
        </w:tc>
        <w:tc>
          <w:tcPr>
            <w:tcW w:w="0" w:type="dxa"/>
            <w:vAlign w:val="bottom"/>
          </w:tcPr>
          <w:p>
            <w:pPr>
              <w:spacing w:after="0"/>
              <w:rPr>
                <w:sz w:val="1"/>
                <w:szCs w:val="1"/>
                <w:color w:val="auto"/>
              </w:rPr>
            </w:pPr>
          </w:p>
        </w:tc>
      </w:tr>
      <w:tr>
        <w:trPr>
          <w:trHeight w:val="67"/>
        </w:trPr>
        <w:tc>
          <w:tcPr>
            <w:tcW w:w="10860" w:type="dxa"/>
            <w:vAlign w:val="bottom"/>
            <w:gridSpan w:val="5"/>
          </w:tcPr>
          <w:p>
            <w:pPr>
              <w:spacing w:after="0" w:line="67" w:lineRule="exact"/>
              <w:rPr>
                <w:sz w:val="20"/>
                <w:szCs w:val="20"/>
                <w:color w:val="auto"/>
              </w:rPr>
            </w:pPr>
            <w:r>
              <w:rPr>
                <w:rFonts w:ascii="Times New Roman" w:cs="Times New Roman" w:eastAsia="Times New Roman" w:hAnsi="Times New Roman"/>
                <w:sz w:val="7"/>
                <w:szCs w:val="7"/>
                <w:color w:val="008000"/>
              </w:rPr>
              <w:t>provide to the Issuer, any security holder of the Issuer, or the staff of the U.S. Securities and Exchange Commission, upon request, full information regarding the number of shares sold at each separate</w:t>
            </w:r>
          </w:p>
        </w:tc>
        <w:tc>
          <w:tcPr>
            <w:tcW w:w="0" w:type="dxa"/>
            <w:vAlign w:val="bottom"/>
          </w:tcPr>
          <w:p>
            <w:pPr>
              <w:spacing w:after="0"/>
              <w:rPr>
                <w:sz w:val="1"/>
                <w:szCs w:val="1"/>
                <w:color w:val="auto"/>
              </w:rPr>
            </w:pPr>
          </w:p>
        </w:tc>
      </w:tr>
      <w:tr>
        <w:trPr>
          <w:trHeight w:val="147"/>
        </w:trPr>
        <w:tc>
          <w:tcPr>
            <w:tcW w:w="316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price within the range set forth in this footnote.</w:t>
            </w:r>
          </w:p>
        </w:tc>
        <w:tc>
          <w:tcPr>
            <w:tcW w:w="1320" w:type="dxa"/>
            <w:vAlign w:val="bottom"/>
          </w:tcPr>
          <w:p>
            <w:pPr>
              <w:ind w:left="64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rPr>
                <w:sz w:val="20"/>
                <w:szCs w:val="20"/>
                <w:color w:val="auto"/>
              </w:rPr>
            </w:pPr>
            <w:r>
              <w:rPr>
                <w:rFonts w:ascii="Arial" w:cs="Arial" w:eastAsia="Arial" w:hAnsi="Arial"/>
                <w:sz w:val="12"/>
                <w:szCs w:val="12"/>
                <w:b w:val="1"/>
                <w:bCs w:val="1"/>
                <w:color w:val="auto"/>
              </w:rPr>
              <w:t>(A)   (D)   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2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0" w:type="dxa"/>
            <w:vAlign w:val="bottom"/>
          </w:tcPr>
          <w:p>
            <w:pPr>
              <w:spacing w:after="0"/>
              <w:rPr>
                <w:sz w:val="1"/>
                <w:szCs w:val="1"/>
                <w:color w:val="auto"/>
              </w:rPr>
            </w:pPr>
          </w:p>
        </w:tc>
      </w:tr>
      <w:tr>
        <w:trPr>
          <w:trHeight w:val="40"/>
        </w:trPr>
        <w:tc>
          <w:tcPr>
            <w:tcW w:w="3160" w:type="dxa"/>
            <w:vAlign w:val="bottom"/>
            <w:vMerge w:val="continue"/>
          </w:tcPr>
          <w:p>
            <w:pPr>
              <w:spacing w:after="0"/>
              <w:rPr>
                <w:sz w:val="3"/>
                <w:szCs w:val="3"/>
                <w:color w:val="auto"/>
              </w:rPr>
            </w:pPr>
          </w:p>
        </w:tc>
        <w:tc>
          <w:tcPr>
            <w:tcW w:w="1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$358.8000 to $359.6400,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$357.8650 to $358.6000,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$356.6600 to $357.5750,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$354.6200 to $355.5800,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$354.0600 to $354.5500,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$352.5400 to $353.5200,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$351.5250 to $352.4850,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$349.1050 to $350.0100,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$347.7700 to $347.8600,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$346.2700 to $346.6650,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$344.6650 to $345.6250,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$343.9250 to $344.6200,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$342.5200 to $343.4600,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Philip Mazzara,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7624" TargetMode="External"/><Relationship Id="rId14" Type="http://schemas.openxmlformats.org/officeDocument/2006/relationships/hyperlink" Target="http://www.sec.gov/cgi-bin/browse-edgar?action=getcompany&amp;CIK=0001736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2026-06-08T19:27:40Z</dcterms:created>
  <dcterms:modified xsi:type="dcterms:W3CDTF">2026-06-08T19:27:40Z</dcterms:modified>
</cp:coreProperties>
</file>