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400.xml.htm"/>
      <w:bookmarkStart w:id="1" w:name="kswkform4_17871774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Mohan Jitendra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7"/>
        <w:gridCol w:w="927"/>
        <w:gridCol w:w="797"/>
        <w:gridCol w:w="615"/>
        <w:gridCol w:w="341"/>
        <w:gridCol w:w="911"/>
        <w:gridCol w:w="418"/>
        <w:gridCol w:w="1104"/>
        <w:gridCol w:w="1253"/>
        <w:gridCol w:w="966"/>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352.1051</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1,356,717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351.2423</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1,355,668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349.1934</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1,353,684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348.045</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1,352,627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347.0146</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1,349,127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346.1277</w:t>
            </w:r>
            <w:r>
              <w:rPr>
                <w:rFonts w:ascii="Times;serif" w:hAnsi="Times;serif"/>
                <w:color w:val="008000"/>
                <w:position w:val="7"/>
                <w:sz w:val="16"/>
                <w:sz w:val="20"/>
                <w:shd w:fill="FFFFFF" w:val="clear"/>
              </w:rPr>
              <w:t>(7)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1,346,602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17,373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344.9944</w:t>
            </w:r>
            <w:r>
              <w:rPr>
                <w:rFonts w:ascii="Times;serif" w:hAnsi="Times;serif"/>
                <w:color w:val="008000"/>
                <w:position w:val="7"/>
                <w:sz w:val="16"/>
                <w:sz w:val="20"/>
                <w:shd w:fill="FFFFFF" w:val="clear"/>
              </w:rPr>
              <w:t>(8)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1,329,229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343.9353</w:t>
            </w:r>
            <w:r>
              <w:rPr>
                <w:rFonts w:ascii="Times;serif" w:hAnsi="Times;serif"/>
                <w:color w:val="008000"/>
                <w:position w:val="7"/>
                <w:sz w:val="16"/>
                <w:sz w:val="20"/>
                <w:shd w:fill="FFFFFF" w:val="clear"/>
              </w:rPr>
              <w:t>(9)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1,325,516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342.9517</w:t>
            </w:r>
            <w:r>
              <w:rPr>
                <w:rFonts w:ascii="Times;serif" w:hAnsi="Times;serif"/>
                <w:color w:val="008000"/>
                <w:position w:val="7"/>
                <w:sz w:val="16"/>
                <w:sz w:val="20"/>
                <w:shd w:fill="FFFFFF" w:val="clear"/>
              </w:rPr>
              <w:t>(10)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1,320,067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341.7073</w:t>
            </w:r>
            <w:r>
              <w:rPr>
                <w:rFonts w:ascii="Times;serif" w:hAnsi="Times;serif"/>
                <w:color w:val="008000"/>
                <w:position w:val="7"/>
                <w:sz w:val="16"/>
                <w:sz w:val="20"/>
                <w:shd w:fill="FFFFFF" w:val="clear"/>
              </w:rPr>
              <w:t>(11)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1,318,457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340.5787</w:t>
            </w: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1,315,841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339.7445</w:t>
            </w:r>
            <w:r>
              <w:rPr>
                <w:rFonts w:ascii="Times;serif" w:hAnsi="Times;serif"/>
                <w:color w:val="008000"/>
                <w:position w:val="7"/>
                <w:sz w:val="16"/>
                <w:sz w:val="20"/>
                <w:shd w:fill="FFFFFF" w:val="clear"/>
              </w:rPr>
              <w:t>(13)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1,309,357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338.5799</w:t>
            </w:r>
            <w:r>
              <w:rPr>
                <w:rFonts w:ascii="Times;serif" w:hAnsi="Times;serif"/>
                <w:color w:val="008000"/>
                <w:position w:val="7"/>
                <w:sz w:val="16"/>
                <w:sz w:val="20"/>
                <w:shd w:fill="FFFFFF" w:val="clear"/>
              </w:rPr>
              <w:t>(14)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1,301,365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337.7592</w:t>
            </w:r>
            <w:r>
              <w:rPr>
                <w:rFonts w:ascii="Times;serif" w:hAnsi="Times;serif"/>
                <w:color w:val="008000"/>
                <w:position w:val="7"/>
                <w:sz w:val="16"/>
                <w:sz w:val="20"/>
                <w:shd w:fill="FFFFFF" w:val="clear"/>
              </w:rPr>
              <w:t>(15)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1,290,927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336.6486</w:t>
            </w:r>
            <w:r>
              <w:rPr>
                <w:rFonts w:ascii="Times;serif" w:hAnsi="Times;serif"/>
                <w:color w:val="008000"/>
                <w:position w:val="7"/>
                <w:sz w:val="16"/>
                <w:sz w:val="20"/>
                <w:shd w:fill="FFFFFF" w:val="clear"/>
              </w:rPr>
              <w:t>(16)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1,287,981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335.4148</w:t>
            </w:r>
            <w:r>
              <w:rPr>
                <w:rFonts w:ascii="Times;serif" w:hAnsi="Times;serif"/>
                <w:color w:val="008000"/>
                <w:position w:val="7"/>
                <w:sz w:val="16"/>
                <w:sz w:val="20"/>
                <w:shd w:fill="FFFFFF" w:val="clear"/>
              </w:rPr>
              <w:t>(17)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1,286,199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334.226</w:t>
            </w:r>
            <w:r>
              <w:rPr>
                <w:rFonts w:ascii="Times;serif" w:hAnsi="Times;serif"/>
                <w:color w:val="008000"/>
                <w:position w:val="7"/>
                <w:sz w:val="16"/>
                <w:sz w:val="20"/>
                <w:shd w:fill="FFFFFF" w:val="clear"/>
              </w:rPr>
              <w:t>(18)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1,279,273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333.5996</w:t>
            </w:r>
            <w:r>
              <w:rPr>
                <w:rFonts w:ascii="Times;serif" w:hAnsi="Times;serif"/>
                <w:color w:val="008000"/>
                <w:position w:val="7"/>
                <w:sz w:val="16"/>
                <w:sz w:val="20"/>
                <w:shd w:fill="FFFFFF" w:val="clear"/>
              </w:rPr>
              <w:t>(19)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1,266,665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(20)</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3,789,232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Living Trust</w:t>
            </w:r>
            <w:r>
              <w:rPr>
                <w:rFonts w:ascii="Times;serif" w:hAnsi="Times;serif"/>
                <w:color w:val="008000"/>
                <w:position w:val="7"/>
                <w:sz w:val="16"/>
                <w:sz w:val="20"/>
                <w:shd w:fill="FFFFFF" w:val="clear"/>
              </w:rPr>
              <w:t>(21)</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2021 Trust 1</w:t>
            </w:r>
            <w:r>
              <w:rPr>
                <w:rFonts w:ascii="Times;serif" w:hAnsi="Times;serif"/>
                <w:color w:val="008000"/>
                <w:position w:val="7"/>
                <w:sz w:val="16"/>
                <w:sz w:val="20"/>
                <w:shd w:fill="FFFFFF" w:val="clear"/>
              </w:rPr>
              <w:t>(22)</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2021 Trust 2</w:t>
            </w:r>
            <w:r>
              <w:rPr>
                <w:rFonts w:ascii="Times;serif" w:hAnsi="Times;serif"/>
                <w:color w:val="008000"/>
                <w:position w:val="7"/>
                <w:sz w:val="16"/>
                <w:sz w:val="20"/>
                <w:shd w:fill="FFFFFF" w:val="clear"/>
              </w:rPr>
              <w:t>(23)</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2022 Trust 1</w:t>
            </w:r>
            <w:r>
              <w:rPr>
                <w:rFonts w:ascii="Times;serif" w:hAnsi="Times;serif"/>
                <w:color w:val="008000"/>
                <w:position w:val="7"/>
                <w:sz w:val="16"/>
                <w:sz w:val="20"/>
                <w:shd w:fill="FFFFFF" w:val="clear"/>
              </w:rPr>
              <w:t>(24)</w:t>
            </w:r>
          </w:p>
        </w:tc>
      </w:tr>
      <w:tr>
        <w:trPr/>
        <w:tc>
          <w:tcPr>
            <w:tcW w:w="19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2022 Trust 2</w:t>
            </w:r>
            <w:r>
              <w:rPr>
                <w:rFonts w:ascii="Times;serif" w:hAnsi="Times;serif"/>
                <w:color w:val="008000"/>
                <w:position w:val="7"/>
                <w:sz w:val="16"/>
                <w:sz w:val="20"/>
                <w:shd w:fill="FFFFFF" w:val="clear"/>
              </w:rPr>
              <w:t>(25)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required to be sold by the Reporting Person to satisfy tax withholding obligations in connection with the vesting and settlement of restricted stock units previously granted to the Reporting Person. Such sales were automatic and mandated by an election of the Issuer made in advance of the vesting event to require the satisfaction of tax withholding obligations to be funded by a "sell to cover",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as part of block trades for multiple security holders of the Issuer in multiple transactions at prices ranging from $351.7600 to $352.5000,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as part of block trades for multiple security holders of the Issuer in multiple transactions at prices ranging from $350.8850 to $351.5000,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as part of block trades for multiple security holders of the Issuer in multiple transactions at prices ranging from $348.8000 to $349.7300,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as part of block trades for multiple security holders of the Issuer in multiple transactions at prices ranging from $347.6800 to $348.6300,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as part of block trades for multiple security holders of the Issuer in multiple transactions at prices ranging from $346.6200 to $347.5600,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as part of block trades for multiple security holders of the Issuer in multiple transactions at prices ranging from $345.5900 to $346.5050,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as part of block trades for multiple security holders of the Issuer in multiple transactions at prices ranging from $344.5100 to $345.5000,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as part of block trades for multiple security holders of the Issuer in multiple transactions at prices ranging from $343.4100 to $344.4000,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as part of block trades for multiple security holders of the Issuer in multiple transactions at prices ranging from $342.4400 to $343.3800,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as part of block trades for multiple security holders of the Issuer in multiple transactions at prices ranging from $341.4300 to $342.3800,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as part of block trades for multiple security holders of the Issuer in multiple transactions at prices ranging from $340.2200 to $341.2150,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as part of block trades for multiple security holders of the Issuer in multiple transactions at prices ranging from $339.2100 to $340.2000,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as part of block trades for multiple security holders of the Issuer in multiple transactions at prices ranging from $338.2000 to $339.1900,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as part of block trades for multiple security holders of the Issuer in multiple transactions at prices ranging from $337.2600 to $338.1850,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as part of block trades for multiple security holders of the Issuer in multiple transactions at prices ranging from $336.0450 to $337.0000,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as part of block trades for multiple security holders of the Issuer in multiple transactions at prices ranging from $335.2425 to $335.9750,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as part of block trades for multiple security holders of the Issuer in multiple transactions at prices ranging from $333.8100 to $334.8050,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as part of block trades for multiple security holders of the Issuer in multiple transactions at prices ranging from $333.3600 to $333.8000,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These shares are owned directly by an estate planning trust (the "Trust").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These shares are owned directly by a living trust (the "Living Trust"), of which the Reporting Person is a trustee.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These shares are owned directly by an estate planning trust (the "2021 Trust 1"), of which the Reporting Person is a trustee.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These shares are owned directly by an estate planning trust (the "2021 Trust 2"), of which the Reporting Person is a trustee.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These shares are owned directly by an estate planning trust (the "2022 Trust 1").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These shares are owned directly by an estate planning trust (the "2022 Trust 2").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053"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2820</Words>
  <Characters>14627</Characters>
  <CharactersWithSpaces>17194</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