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2026_080832.xml.htm"/>
      <w:bookmarkStart w:id="1" w:name="ksform408102026_0808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Dyckerhoff Stefan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755 PAGE MILL ROAD, SUITE A-200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94304-1005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Astera Labs, Inc.</w:t>
              </w:r>
            </w:hyperlink>
            <w:r>
              <w:rPr/>
              <w:t xml:space="preserve"> [ </w:t>
            </w:r>
            <w:r>
              <w:rPr>
                <w:rFonts w:ascii="Times;serif" w:hAnsi="Times;serif"/>
                <w:color w:val="0000FF"/>
                <w:sz w:val="24"/>
                <w:shd w:fill="FFFFFF" w:val="clear"/>
              </w:rPr>
              <w:t>ALAB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0"/>
        <w:gridCol w:w="932"/>
        <w:gridCol w:w="801"/>
        <w:gridCol w:w="618"/>
        <w:gridCol w:w="339"/>
        <w:gridCol w:w="800"/>
        <w:gridCol w:w="408"/>
        <w:gridCol w:w="1011"/>
        <w:gridCol w:w="1099"/>
        <w:gridCol w:w="956"/>
        <w:gridCol w:w="14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309.289</w:t>
            </w:r>
            <w:r>
              <w:rPr>
                <w:rFonts w:ascii="Times;serif" w:hAnsi="Times;serif"/>
                <w:color w:val="008000"/>
                <w:position w:val="7"/>
                <w:sz w:val="16"/>
                <w:sz w:val="20"/>
                <w:shd w:fill="FFFFFF" w:val="clear"/>
              </w:rPr>
              <w:t>(2)</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56,437</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2,447</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309.289</w:t>
            </w:r>
            <w:r>
              <w:rPr>
                <w:rFonts w:ascii="Times;serif" w:hAnsi="Times;serif"/>
                <w:color w:val="008000"/>
                <w:position w:val="7"/>
                <w:sz w:val="16"/>
                <w:sz w:val="20"/>
                <w:shd w:fill="FFFFFF" w:val="clear"/>
              </w:rPr>
              <w:t>(2)</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308,952</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309.289</w:t>
            </w:r>
            <w:r>
              <w:rPr>
                <w:rFonts w:ascii="Times;serif" w:hAnsi="Times;serif"/>
                <w:color w:val="008000"/>
                <w:position w:val="7"/>
                <w:sz w:val="16"/>
                <w:sz w:val="20"/>
                <w:shd w:fill="FFFFFF" w:val="clear"/>
              </w:rPr>
              <w:t>(2)</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4,437</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Partnership (TF)</w:t>
            </w:r>
            <w:r>
              <w:rPr>
                <w:rFonts w:ascii="Times;serif" w:hAnsi="Times;serif"/>
                <w:color w:val="008000"/>
                <w:position w:val="7"/>
                <w:sz w:val="16"/>
                <w:sz w:val="20"/>
                <w:shd w:fill="FFFFFF" w:val="clear"/>
              </w:rPr>
              <w:t>(5)</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311.372</w:t>
            </w:r>
            <w:r>
              <w:rPr>
                <w:rFonts w:ascii="Times;serif" w:hAnsi="Times;serif"/>
                <w:color w:val="008000"/>
                <w:position w:val="7"/>
                <w:sz w:val="16"/>
                <w:sz w:val="20"/>
                <w:shd w:fill="FFFFFF" w:val="clear"/>
              </w:rPr>
              <w:t>(6)</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56,168</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311.372</w:t>
            </w:r>
            <w:r>
              <w:rPr>
                <w:rFonts w:ascii="Times;serif" w:hAnsi="Times;serif"/>
                <w:color w:val="008000"/>
                <w:position w:val="7"/>
                <w:sz w:val="16"/>
                <w:sz w:val="20"/>
                <w:shd w:fill="FFFFFF" w:val="clear"/>
              </w:rPr>
              <w:t>(6)</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308,312</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311.372</w:t>
            </w:r>
            <w:r>
              <w:rPr>
                <w:rFonts w:ascii="Times;serif" w:hAnsi="Times;serif"/>
                <w:color w:val="008000"/>
                <w:position w:val="7"/>
                <w:sz w:val="16"/>
                <w:sz w:val="20"/>
                <w:shd w:fill="FFFFFF" w:val="clear"/>
              </w:rPr>
              <w:t>(6)</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4,386</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Partnership (TF)</w:t>
            </w:r>
            <w:r>
              <w:rPr>
                <w:rFonts w:ascii="Times;serif" w:hAnsi="Times;serif"/>
                <w:color w:val="008000"/>
                <w:position w:val="7"/>
                <w:sz w:val="16"/>
                <w:sz w:val="20"/>
                <w:shd w:fill="FFFFFF" w:val="clear"/>
              </w:rPr>
              <w:t>(5)</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2,207</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313.074</w:t>
            </w:r>
            <w:r>
              <w:rPr>
                <w:rFonts w:ascii="Times;serif" w:hAnsi="Times;serif"/>
                <w:color w:val="008000"/>
                <w:position w:val="7"/>
                <w:sz w:val="16"/>
                <w:sz w:val="20"/>
                <w:shd w:fill="FFFFFF" w:val="clear"/>
              </w:rPr>
              <w:t>(7)</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53,961</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5,246</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313.074</w:t>
            </w:r>
            <w:r>
              <w:rPr>
                <w:rFonts w:ascii="Times;serif" w:hAnsi="Times;serif"/>
                <w:color w:val="008000"/>
                <w:position w:val="7"/>
                <w:sz w:val="16"/>
                <w:sz w:val="20"/>
                <w:shd w:fill="FFFFFF" w:val="clear"/>
              </w:rPr>
              <w:t>(7)</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303,066</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313.074</w:t>
            </w:r>
            <w:r>
              <w:rPr>
                <w:rFonts w:ascii="Times;serif" w:hAnsi="Times;serif"/>
                <w:color w:val="008000"/>
                <w:position w:val="7"/>
                <w:sz w:val="16"/>
                <w:sz w:val="20"/>
                <w:shd w:fill="FFFFFF" w:val="clear"/>
              </w:rPr>
              <w:t>(7)</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3,970</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Partnership (TF)</w:t>
            </w:r>
            <w:r>
              <w:rPr>
                <w:rFonts w:ascii="Times;serif" w:hAnsi="Times;serif"/>
                <w:color w:val="008000"/>
                <w:position w:val="7"/>
                <w:sz w:val="16"/>
                <w:sz w:val="20"/>
                <w:shd w:fill="FFFFFF" w:val="clear"/>
              </w:rPr>
              <w:t>(5)</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3,767</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DIFT-2</w:t>
            </w:r>
            <w:r>
              <w:rPr>
                <w:rFonts w:ascii="Times;serif" w:hAnsi="Times;serif"/>
                <w:color w:val="008000"/>
                <w:position w:val="7"/>
                <w:sz w:val="16"/>
                <w:sz w:val="20"/>
                <w:shd w:fill="FFFFFF" w:val="clear"/>
              </w:rPr>
              <w:t>(8)</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DIFT-AMD</w:t>
            </w:r>
            <w:r>
              <w:rPr>
                <w:rFonts w:ascii="Times;serif" w:hAnsi="Times;serif"/>
                <w:color w:val="008000"/>
                <w:position w:val="7"/>
                <w:sz w:val="16"/>
                <w:sz w:val="20"/>
                <w:shd w:fill="FFFFFF" w:val="clear"/>
              </w:rPr>
              <w:t>(8)</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DIFT-BAD</w:t>
            </w:r>
            <w:r>
              <w:rPr>
                <w:rFonts w:ascii="Times;serif" w:hAnsi="Times;serif"/>
                <w:color w:val="008000"/>
                <w:position w:val="7"/>
                <w:sz w:val="16"/>
                <w:sz w:val="20"/>
                <w:shd w:fill="FFFFFF" w:val="clear"/>
              </w:rPr>
              <w:t>(8)</w:t>
            </w:r>
          </w:p>
        </w:tc>
      </w:tr>
      <w:tr>
        <w:trPr/>
        <w:tc>
          <w:tcPr>
            <w:tcW w:w="18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DIFT-SHD</w:t>
            </w:r>
            <w:r>
              <w:rPr>
                <w:rFonts w:ascii="Times;serif" w:hAnsi="Times;serif"/>
                <w:color w:val="008000"/>
                <w:position w:val="7"/>
                <w:sz w:val="16"/>
                <w:sz w:val="20"/>
                <w:shd w:fill="FFFFFF" w:val="clear"/>
              </w:rPr>
              <w:t>(8)</w:t>
            </w:r>
          </w:p>
        </w:tc>
      </w:tr>
      <w:tr>
        <w:trPr/>
        <w:tc>
          <w:tcPr>
            <w:tcW w:w="1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DIFT-IND</w:t>
            </w:r>
            <w:r>
              <w:rPr>
                <w:rFonts w:ascii="Times;serif" w:hAnsi="Times;serif"/>
                <w:color w:val="008000"/>
                <w:position w:val="7"/>
                <w:sz w:val="16"/>
                <w:sz w:val="20"/>
                <w:shd w:fill="FFFFFF" w:val="clear"/>
              </w:rPr>
              <w:t>(8)</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adopted by the Reporting Person on December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$308.67 to $309.34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to be issued in connection with the vesting of one or more restricted stock units. The Reporting Person shares pecuniary interest in these shares with other parties pursuant to contractual relationships. The Reporting Person disclaims beneficial ownership in these shares except as to the Reporting Person's pecuniary interest in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a trust of which the Reporting Person is a Trustee. The Reporting Person disclaims beneficial ownership in these shares except as to the Reporting Person's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by a limited partnership of which the Reporting Person is a trustee of a trust which is the general partner. The Reporting Person disclaims beneficial ownership in these shares except as to the Reporting Person's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$311.20 to $312.02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$312.41 to $313.211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held by an irrevocable trust of which the Reporting Person is a Trustee. The Reporting Person disclaims beneficial ownership in these shares except as to the Reporting Person's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Kanwalpreet S. Kalra,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84394" TargetMode="External"/><Relationship Id="rId5" Type="http://schemas.openxmlformats.org/officeDocument/2006/relationships/hyperlink" Target="http://www.sec.gov/cgi-bin/browse-edgar?action=getcompany&amp;CIK=0001736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1083</Words>
  <Characters>5819</Characters>
  <CharactersWithSpaces>6739</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